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59" w:rsidRDefault="009E0659" w:rsidP="009E0659">
      <w:pPr>
        <w:pStyle w:val="berschrift1"/>
        <w:numPr>
          <w:ilvl w:val="0"/>
          <w:numId w:val="0"/>
        </w:numPr>
      </w:pPr>
      <w:r>
        <w:rPr>
          <w:noProof/>
          <w:lang w:eastAsia="de-DE"/>
        </w:rPr>
        <w:pict>
          <v:shapetype id="_x0000_t202" coordsize="21600,21600" o:spt="202" path="m,l,21600r21600,l21600,xe">
            <v:stroke joinstyle="miter"/>
            <v:path gradientshapeok="t" o:connecttype="rect"/>
          </v:shapetype>
          <v:shape id="_x0000_s1044" type="#_x0000_t202" style="position:absolute;left:0;text-align:left;margin-left:-.05pt;margin-top:45.85pt;width:462.45pt;height:62.75pt;z-index:251660288;mso-width-relative:margin;mso-height-relative:margin" fillcolor="white [3201]" strokecolor="#4bacc6 [3208]" strokeweight="1pt">
            <v:stroke dashstyle="dash"/>
            <v:shadow color="#868686"/>
            <v:textbox style="mso-next-textbox:#_x0000_s1044">
              <w:txbxContent>
                <w:p w:rsidR="009E0659" w:rsidRPr="00332EC3" w:rsidRDefault="009E0659" w:rsidP="009E0659">
                  <w:pPr>
                    <w:rPr>
                      <w:color w:val="auto"/>
                    </w:rPr>
                  </w:pPr>
                  <w:r w:rsidRPr="00332EC3">
                    <w:rPr>
                      <w:color w:val="auto"/>
                    </w:rPr>
                    <w:t>In dem Versuch wird die unterschiedliche Dichte von flüssigen und gasförmigen Alkanen g</w:t>
                  </w:r>
                  <w:r w:rsidRPr="00332EC3">
                    <w:rPr>
                      <w:color w:val="auto"/>
                    </w:rPr>
                    <w:t>e</w:t>
                  </w:r>
                  <w:r w:rsidRPr="00332EC3">
                    <w:rPr>
                      <w:color w:val="auto"/>
                    </w:rPr>
                    <w:t>zeigt. Die SuS sollten zur Deutung des Versuchs Kenntnisse zu den intermolekularen Wechse</w:t>
                  </w:r>
                  <w:r w:rsidRPr="00332EC3">
                    <w:rPr>
                      <w:color w:val="auto"/>
                    </w:rPr>
                    <w:t>l</w:t>
                  </w:r>
                  <w:r w:rsidRPr="00332EC3">
                    <w:rPr>
                      <w:color w:val="auto"/>
                    </w:rPr>
                    <w:t>wirkungen von Alkanen aufweisen.</w:t>
                  </w:r>
                </w:p>
              </w:txbxContent>
            </v:textbox>
            <w10:wrap type="square"/>
          </v:shape>
        </w:pict>
      </w:r>
      <w:bookmarkStart w:id="0" w:name="_Toc363494436"/>
      <w:r>
        <w:t>V 8 – Dichte von Alkanen</w:t>
      </w:r>
      <w:bookmarkEnd w:id="0"/>
    </w:p>
    <w:p w:rsidR="009E0659" w:rsidRDefault="009E0659" w:rsidP="009E065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E0659" w:rsidRPr="009C5E28" w:rsidTr="00CE48AB">
        <w:tc>
          <w:tcPr>
            <w:tcW w:w="9322" w:type="dxa"/>
            <w:gridSpan w:val="9"/>
            <w:tcBorders>
              <w:bottom w:val="single" w:sz="4" w:space="0" w:color="4F81BD" w:themeColor="accent1"/>
            </w:tcBorders>
            <w:shd w:val="clear" w:color="auto" w:fill="4F81BD"/>
            <w:vAlign w:val="center"/>
          </w:tcPr>
          <w:p w:rsidR="009E0659" w:rsidRPr="009C5E28" w:rsidRDefault="009E0659" w:rsidP="00CE48AB">
            <w:pPr>
              <w:spacing w:after="0"/>
              <w:jc w:val="center"/>
              <w:rPr>
                <w:b/>
                <w:bCs/>
              </w:rPr>
            </w:pPr>
            <w:r w:rsidRPr="009C5E28">
              <w:rPr>
                <w:b/>
                <w:bCs/>
              </w:rPr>
              <w:t>Gefahrenstoffe</w:t>
            </w:r>
          </w:p>
        </w:tc>
      </w:tr>
      <w:tr w:rsidR="009E0659" w:rsidRPr="009C5E28" w:rsidTr="00CE48AB">
        <w:trPr>
          <w:trHeight w:val="437"/>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Pr="009C5E28" w:rsidRDefault="009E0659" w:rsidP="00CE48AB">
            <w:pPr>
              <w:spacing w:after="0" w:line="276" w:lineRule="auto"/>
              <w:jc w:val="center"/>
              <w:rPr>
                <w:b/>
                <w:bCs/>
              </w:rPr>
            </w:pPr>
            <w:r>
              <w:t>Pentan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Pr="009C5E28" w:rsidRDefault="009E0659" w:rsidP="00CE48AB">
            <w:pPr>
              <w:spacing w:after="0"/>
              <w:jc w:val="center"/>
            </w:pPr>
            <w:r w:rsidRPr="009C5E28">
              <w:rPr>
                <w:sz w:val="20"/>
              </w:rPr>
              <w:t xml:space="preserve">H: </w:t>
            </w:r>
            <w:hyperlink r:id="rId8" w:anchor="H-S.C3.A4tze" w:tooltip="H- und P-Sätze" w:history="1">
              <w:r w:rsidRPr="009C5E28">
                <w:rPr>
                  <w:rStyle w:val="Hyperlink"/>
                  <w:color w:val="auto"/>
                  <w:sz w:val="20"/>
                </w:rPr>
                <w:t>332</w:t>
              </w:r>
            </w:hyperlink>
            <w:r w:rsidRPr="009C5E28">
              <w:rPr>
                <w:sz w:val="20"/>
              </w:rPr>
              <w:t>-</w:t>
            </w:r>
            <w:hyperlink r:id="rId9" w:anchor="H-S.C3.A4tze" w:tooltip="H- und P-Sätze" w:history="1">
              <w:r w:rsidRPr="009C5E28">
                <w:rPr>
                  <w:rStyle w:val="Hyperlink"/>
                  <w:color w:val="auto"/>
                  <w:sz w:val="20"/>
                </w:rPr>
                <w:t>302</w:t>
              </w:r>
            </w:hyperlink>
            <w:r w:rsidRPr="009C5E28">
              <w:rPr>
                <w:sz w:val="20"/>
              </w:rPr>
              <w:t>-</w:t>
            </w:r>
            <w:hyperlink r:id="rId10" w:anchor="H-S.C3.A4tze" w:tooltip="H- und P-Sätze" w:history="1">
              <w:r w:rsidRPr="009C5E28">
                <w:rPr>
                  <w:rStyle w:val="Hyperlink"/>
                  <w:color w:val="auto"/>
                  <w:sz w:val="20"/>
                </w:rPr>
                <w:t>314</w:t>
              </w:r>
            </w:hyperlink>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Pr="009C5E28" w:rsidRDefault="009E0659" w:rsidP="00CE48AB">
            <w:pPr>
              <w:spacing w:after="0"/>
              <w:jc w:val="center"/>
            </w:pPr>
            <w:r w:rsidRPr="009C5E28">
              <w:rPr>
                <w:sz w:val="20"/>
              </w:rPr>
              <w:t xml:space="preserve">P: </w:t>
            </w:r>
            <w:hyperlink r:id="rId11" w:anchor="P-S.C3.A4tze" w:tooltip="H- und P-Sätze" w:history="1">
              <w:r w:rsidRPr="009C5E28">
                <w:rPr>
                  <w:rStyle w:val="Hyperlink"/>
                  <w:color w:val="auto"/>
                  <w:sz w:val="20"/>
                </w:rPr>
                <w:t>280</w:t>
              </w:r>
            </w:hyperlink>
            <w:r w:rsidRPr="009C5E28">
              <w:rPr>
                <w:sz w:val="20"/>
              </w:rPr>
              <w:t>-​</w:t>
            </w:r>
            <w:hyperlink r:id="rId12" w:anchor="P-S.C3.A4tze" w:tooltip="H- und P-Sätze" w:history="1">
              <w:r w:rsidRPr="009C5E28">
                <w:rPr>
                  <w:rStyle w:val="Hyperlink"/>
                  <w:color w:val="auto"/>
                  <w:sz w:val="20"/>
                </w:rPr>
                <w:t>301+330+331</w:t>
              </w:r>
            </w:hyperlink>
          </w:p>
        </w:tc>
      </w:tr>
      <w:tr w:rsidR="009E0659"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spacing w:after="0" w:line="276" w:lineRule="auto"/>
              <w:jc w:val="center"/>
            </w:pPr>
            <w:r>
              <w:t>Paraffinöl</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Pr="009C5E28" w:rsidRDefault="009E0659" w:rsidP="00CE48AB">
            <w:pPr>
              <w:pStyle w:val="Beschriftung"/>
              <w:spacing w:after="0"/>
              <w:jc w:val="center"/>
              <w:rPr>
                <w:sz w:val="20"/>
              </w:rPr>
            </w:pPr>
            <w:r>
              <w:rPr>
                <w:sz w:val="20"/>
              </w:rPr>
              <w:t>H: -</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Pr="009C5E28" w:rsidRDefault="009E0659" w:rsidP="00CE48AB">
            <w:pPr>
              <w:pStyle w:val="Beschriftung"/>
              <w:spacing w:after="0"/>
              <w:jc w:val="center"/>
              <w:rPr>
                <w:sz w:val="20"/>
              </w:rPr>
            </w:pPr>
            <w:r>
              <w:rPr>
                <w:sz w:val="20"/>
              </w:rPr>
              <w:t>P: -</w:t>
            </w:r>
          </w:p>
        </w:tc>
      </w:tr>
      <w:tr w:rsidR="009E0659"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spacing w:after="0" w:line="276" w:lineRule="auto"/>
              <w:jc w:val="center"/>
            </w:pPr>
            <w:r>
              <w:t>Methan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pStyle w:val="Beschriftung"/>
              <w:spacing w:after="0"/>
              <w:jc w:val="center"/>
              <w:rPr>
                <w:sz w:val="20"/>
              </w:rPr>
            </w:pPr>
            <w:r>
              <w:rPr>
                <w:sz w:val="20"/>
              </w:rPr>
              <w:t>H: 220-280</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pStyle w:val="Beschriftung"/>
              <w:spacing w:after="0"/>
              <w:jc w:val="center"/>
              <w:rPr>
                <w:sz w:val="20"/>
              </w:rPr>
            </w:pPr>
            <w:r>
              <w:rPr>
                <w:sz w:val="20"/>
              </w:rPr>
              <w:t>P: 210-377-381-403</w:t>
            </w:r>
          </w:p>
        </w:tc>
      </w:tr>
      <w:tr w:rsidR="009E0659"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spacing w:after="0" w:line="276" w:lineRule="auto"/>
              <w:jc w:val="center"/>
            </w:pPr>
            <w:r>
              <w:t>Butan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pStyle w:val="Beschriftung"/>
              <w:spacing w:after="0"/>
              <w:jc w:val="center"/>
              <w:rPr>
                <w:sz w:val="20"/>
              </w:rPr>
            </w:pPr>
            <w:r>
              <w:rPr>
                <w:sz w:val="20"/>
              </w:rPr>
              <w:t>H: 220-280</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9E0659" w:rsidRDefault="009E0659" w:rsidP="00CE48AB">
            <w:pPr>
              <w:pStyle w:val="Beschriftung"/>
              <w:spacing w:after="0"/>
              <w:jc w:val="center"/>
              <w:rPr>
                <w:sz w:val="20"/>
              </w:rPr>
            </w:pPr>
            <w:r>
              <w:rPr>
                <w:sz w:val="20"/>
              </w:rPr>
              <w:t>P: 210-403-377-381</w:t>
            </w:r>
          </w:p>
        </w:tc>
      </w:tr>
      <w:tr w:rsidR="009E0659" w:rsidRPr="009C5E28" w:rsidTr="00CE48AB">
        <w:tc>
          <w:tcPr>
            <w:tcW w:w="1009" w:type="dxa"/>
            <w:tcBorders>
              <w:top w:val="single" w:sz="4" w:space="0" w:color="4F81BD" w:themeColor="accent1"/>
              <w:left w:val="single" w:sz="8" w:space="0" w:color="4F81BD"/>
              <w:bottom w:val="single" w:sz="8" w:space="0" w:color="4F81BD"/>
            </w:tcBorders>
            <w:shd w:val="clear" w:color="auto" w:fill="auto"/>
            <w:vAlign w:val="center"/>
          </w:tcPr>
          <w:p w:rsidR="009E0659" w:rsidRPr="009C5E28" w:rsidRDefault="009E0659" w:rsidP="00CE48AB">
            <w:pPr>
              <w:spacing w:after="0"/>
              <w:jc w:val="center"/>
              <w:rPr>
                <w:b/>
                <w:bCs/>
              </w:rPr>
            </w:pPr>
            <w:r>
              <w:rPr>
                <w:b/>
                <w:noProof/>
                <w:lang w:eastAsia="de-DE"/>
              </w:rPr>
              <w:drawing>
                <wp:inline distT="0" distB="0" distL="0" distR="0">
                  <wp:extent cx="504190" cy="504190"/>
                  <wp:effectExtent l="19050" t="0" r="0" b="0"/>
                  <wp:docPr id="10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04190" cy="504190"/>
                  <wp:effectExtent l="0" t="0" r="0" b="0"/>
                  <wp:docPr id="10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26211" cy="526211"/>
                  <wp:effectExtent l="0" t="0" r="7189" b="0"/>
                  <wp:docPr id="121" name="Bild 18" descr="C:\Users\Anne\AppData\Local\Temp\Rar$DI05.476\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ne\AppData\Local\Temp\Rar$DI05.476\Brennbar.png"/>
                          <pic:cNvPicPr>
                            <a:picLocks noChangeAspect="1" noChangeArrowheads="1"/>
                          </pic:cNvPicPr>
                        </pic:nvPicPr>
                        <pic:blipFill>
                          <a:blip r:embed="rId15"/>
                          <a:srcRect/>
                          <a:stretch>
                            <a:fillRect/>
                          </a:stretch>
                        </pic:blipFill>
                        <pic:spPr bwMode="auto">
                          <a:xfrm>
                            <a:off x="0" y="0"/>
                            <a:ext cx="528739" cy="528739"/>
                          </a:xfrm>
                          <a:prstGeom prst="rect">
                            <a:avLst/>
                          </a:prstGeom>
                          <a:noFill/>
                          <a:ln w="9525">
                            <a:noFill/>
                            <a:miter lim="800000"/>
                            <a:headEnd/>
                            <a:tailEnd/>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04190" cy="504190"/>
                  <wp:effectExtent l="0" t="0" r="0" b="0"/>
                  <wp:docPr id="10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26211" cy="526211"/>
                  <wp:effectExtent l="0" t="0" r="7189" b="0"/>
                  <wp:docPr id="122" name="Bild 20" descr="C:\Users\Anne\AppData\Local\Temp\Rar$DI30.563\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ne\AppData\Local\Temp\Rar$DI30.563\Gasflasche.png"/>
                          <pic:cNvPicPr>
                            <a:picLocks noChangeAspect="1" noChangeArrowheads="1"/>
                          </pic:cNvPicPr>
                        </pic:nvPicPr>
                        <pic:blipFill>
                          <a:blip r:embed="rId17"/>
                          <a:srcRect/>
                          <a:stretch>
                            <a:fillRect/>
                          </a:stretch>
                        </pic:blipFill>
                        <pic:spPr bwMode="auto">
                          <a:xfrm>
                            <a:off x="0" y="0"/>
                            <a:ext cx="528666" cy="528666"/>
                          </a:xfrm>
                          <a:prstGeom prst="rect">
                            <a:avLst/>
                          </a:prstGeom>
                          <a:noFill/>
                          <a:ln w="9525">
                            <a:noFill/>
                            <a:miter lim="800000"/>
                            <a:headEnd/>
                            <a:tailEnd/>
                          </a:ln>
                        </pic:spPr>
                      </pic:pic>
                    </a:graphicData>
                  </a:graphic>
                </wp:inline>
              </w:drawing>
            </w:r>
          </w:p>
        </w:tc>
        <w:tc>
          <w:tcPr>
            <w:tcW w:w="993"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19382" cy="519382"/>
                  <wp:effectExtent l="19050" t="0" r="0" b="0"/>
                  <wp:docPr id="123" name="Bild 21" descr="C:\Users\Anne\AppData\Local\Temp\Rar$DI09.058\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ne\AppData\Local\Temp\Rar$DI09.058\Gesundheitsgefahr.png"/>
                          <pic:cNvPicPr>
                            <a:picLocks noChangeAspect="1" noChangeArrowheads="1"/>
                          </pic:cNvPicPr>
                        </pic:nvPicPr>
                        <pic:blipFill>
                          <a:blip r:embed="rId18"/>
                          <a:srcRect/>
                          <a:stretch>
                            <a:fillRect/>
                          </a:stretch>
                        </pic:blipFill>
                        <pic:spPr bwMode="auto">
                          <a:xfrm>
                            <a:off x="0" y="0"/>
                            <a:ext cx="521572" cy="521572"/>
                          </a:xfrm>
                          <a:prstGeom prst="rect">
                            <a:avLst/>
                          </a:prstGeom>
                          <a:noFill/>
                          <a:ln w="9525">
                            <a:noFill/>
                            <a:miter lim="800000"/>
                            <a:headEnd/>
                            <a:tailEnd/>
                          </a:ln>
                        </pic:spPr>
                      </pic:pic>
                    </a:graphicData>
                  </a:graphic>
                </wp:inline>
              </w:drawing>
            </w:r>
          </w:p>
        </w:tc>
        <w:tc>
          <w:tcPr>
            <w:tcW w:w="975"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04190" cy="504190"/>
                  <wp:effectExtent l="0" t="0" r="0" b="0"/>
                  <wp:docPr id="11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11175" cy="511175"/>
                  <wp:effectExtent l="0" t="0" r="0" b="0"/>
                  <wp:docPr id="11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4" w:space="0" w:color="4F81BD" w:themeColor="accent1"/>
              <w:bottom w:val="single" w:sz="8" w:space="0" w:color="4F81BD"/>
              <w:right w:val="single" w:sz="8" w:space="0" w:color="4F81BD"/>
            </w:tcBorders>
            <w:shd w:val="clear" w:color="auto" w:fill="auto"/>
            <w:vAlign w:val="center"/>
          </w:tcPr>
          <w:p w:rsidR="009E0659" w:rsidRPr="009C5E28" w:rsidRDefault="009E0659" w:rsidP="00CE48AB">
            <w:pPr>
              <w:spacing w:after="0"/>
              <w:jc w:val="center"/>
            </w:pPr>
            <w:r>
              <w:rPr>
                <w:noProof/>
                <w:lang w:eastAsia="de-DE"/>
              </w:rPr>
              <w:drawing>
                <wp:inline distT="0" distB="0" distL="0" distR="0">
                  <wp:extent cx="552091" cy="552091"/>
                  <wp:effectExtent l="19050" t="0" r="359" b="0"/>
                  <wp:docPr id="124" name="Bild 19" descr="C:\Users\Anne\AppData\Local\Temp\Rar$DI01.577\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ne\AppData\Local\Temp\Rar$DI01.577\Umweltgefahr.png"/>
                          <pic:cNvPicPr>
                            <a:picLocks noChangeAspect="1" noChangeArrowheads="1"/>
                          </pic:cNvPicPr>
                        </pic:nvPicPr>
                        <pic:blipFill>
                          <a:blip r:embed="rId21"/>
                          <a:srcRect/>
                          <a:stretch>
                            <a:fillRect/>
                          </a:stretch>
                        </pic:blipFill>
                        <pic:spPr bwMode="auto">
                          <a:xfrm>
                            <a:off x="0" y="0"/>
                            <a:ext cx="555719" cy="555719"/>
                          </a:xfrm>
                          <a:prstGeom prst="rect">
                            <a:avLst/>
                          </a:prstGeom>
                          <a:noFill/>
                          <a:ln w="9525">
                            <a:noFill/>
                            <a:miter lim="800000"/>
                            <a:headEnd/>
                            <a:tailEnd/>
                          </a:ln>
                        </pic:spPr>
                      </pic:pic>
                    </a:graphicData>
                  </a:graphic>
                </wp:inline>
              </w:drawing>
            </w:r>
          </w:p>
        </w:tc>
      </w:tr>
    </w:tbl>
    <w:p w:rsidR="009E0659" w:rsidRDefault="009E0659" w:rsidP="009E0659">
      <w:pPr>
        <w:tabs>
          <w:tab w:val="left" w:pos="1701"/>
          <w:tab w:val="left" w:pos="1985"/>
        </w:tabs>
        <w:ind w:left="1980" w:hanging="1980"/>
      </w:pPr>
    </w:p>
    <w:p w:rsidR="009E0659" w:rsidRDefault="009E0659" w:rsidP="009E0659">
      <w:pPr>
        <w:tabs>
          <w:tab w:val="left" w:pos="1701"/>
          <w:tab w:val="left" w:pos="1985"/>
        </w:tabs>
        <w:ind w:left="1980" w:hanging="1980"/>
      </w:pPr>
      <w:r>
        <w:t xml:space="preserve">Materialien: </w:t>
      </w:r>
      <w:r>
        <w:tab/>
      </w:r>
      <w:r>
        <w:tab/>
      </w:r>
      <w:r>
        <w:tab/>
      </w:r>
      <w:r>
        <w:tab/>
        <w:t>Reagenzglas, 2 Standzylinder, Streichhölzer</w:t>
      </w:r>
    </w:p>
    <w:p w:rsidR="009E0659" w:rsidRPr="00F42E1A" w:rsidRDefault="009E0659" w:rsidP="009E0659">
      <w:pPr>
        <w:tabs>
          <w:tab w:val="left" w:pos="1701"/>
          <w:tab w:val="left" w:pos="1985"/>
        </w:tabs>
        <w:ind w:left="1980" w:hanging="1980"/>
      </w:pPr>
      <w:r w:rsidRPr="00F42E1A">
        <w:t>Chemikalien:</w:t>
      </w:r>
      <w:r w:rsidRPr="00F42E1A">
        <w:tab/>
      </w:r>
      <w:r w:rsidRPr="00F42E1A">
        <w:tab/>
      </w:r>
      <w:r w:rsidRPr="00F42E1A">
        <w:tab/>
      </w:r>
      <w:r w:rsidRPr="00F42E1A">
        <w:tab/>
        <w:t>Pentan, Paraffinöl, Methan, Butan</w:t>
      </w:r>
    </w:p>
    <w:p w:rsidR="009E0659" w:rsidRDefault="009E0659" w:rsidP="009E0659">
      <w:pPr>
        <w:ind w:left="2124" w:hanging="2124"/>
      </w:pPr>
      <w:r>
        <w:t xml:space="preserve">Durchführung 1: </w:t>
      </w:r>
      <w:r>
        <w:tab/>
        <w:t xml:space="preserve">In ein RG werden wenige </w:t>
      </w:r>
      <w:proofErr w:type="spellStart"/>
      <w:r>
        <w:t>mL</w:t>
      </w:r>
      <w:proofErr w:type="spellEnd"/>
      <w:r>
        <w:t xml:space="preserve"> Paraffin und wenige </w:t>
      </w:r>
      <w:proofErr w:type="spellStart"/>
      <w:r>
        <w:t>mL</w:t>
      </w:r>
      <w:proofErr w:type="spellEnd"/>
      <w:r>
        <w:t xml:space="preserve"> Pentan gefüllt. </w:t>
      </w:r>
    </w:p>
    <w:p w:rsidR="009E0659" w:rsidRDefault="009E0659" w:rsidP="009E0659">
      <w:pPr>
        <w:ind w:left="2124" w:hanging="2124"/>
      </w:pPr>
      <w:r>
        <w:t xml:space="preserve">Beobachtung 1: </w:t>
      </w:r>
      <w:r>
        <w:tab/>
        <w:t>Das Pentan bildet eine getrennte Phase über dem Paraffin.</w:t>
      </w:r>
    </w:p>
    <w:p w:rsidR="009E0659" w:rsidRDefault="009E0659" w:rsidP="009E0659">
      <w:pPr>
        <w:ind w:left="2124" w:hanging="2124"/>
      </w:pPr>
      <w:r>
        <w:t>Durchführung 2:</w:t>
      </w:r>
      <w:r>
        <w:tab/>
        <w:t>Ein Standzylinder wird mit Methan gefüllt, ein weiterer mit Butan. Beide werden 20 Sekunden offen stehen gelassen und danach mit einem Streichholz entzündet.</w:t>
      </w:r>
    </w:p>
    <w:p w:rsidR="009E0659" w:rsidRDefault="009E0659" w:rsidP="009E0659">
      <w:pPr>
        <w:ind w:left="2124" w:hanging="2124"/>
      </w:pPr>
      <w:r>
        <w:t xml:space="preserve">Beobachtung 2: </w:t>
      </w:r>
      <w:r>
        <w:tab/>
        <w:t>Die Flamme des Methans bleibt im oberen Bereich des Standzylinders, während die des Butans bis zum Boden des Standzylinders abbrennt.</w:t>
      </w:r>
    </w:p>
    <w:p w:rsidR="009E0659" w:rsidRDefault="009E0659" w:rsidP="009E0659">
      <w:pPr>
        <w:keepNext/>
        <w:tabs>
          <w:tab w:val="left" w:pos="1701"/>
          <w:tab w:val="left" w:pos="1985"/>
        </w:tabs>
        <w:ind w:left="1980" w:hanging="1980"/>
        <w:jc w:val="center"/>
      </w:pPr>
      <w:r>
        <w:rPr>
          <w:noProof/>
          <w:lang w:eastAsia="de-DE"/>
        </w:rPr>
        <w:lastRenderedPageBreak/>
        <w:drawing>
          <wp:inline distT="0" distB="0" distL="0" distR="0">
            <wp:extent cx="2922558" cy="2474902"/>
            <wp:effectExtent l="19050" t="0" r="0" b="0"/>
            <wp:docPr id="114" name="Bild 24" descr="F:\DCIM\100CANON\IMG_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DCIM\100CANON\IMG_1391.JPG"/>
                    <pic:cNvPicPr>
                      <a:picLocks noChangeAspect="1" noChangeArrowheads="1"/>
                    </pic:cNvPicPr>
                  </pic:nvPicPr>
                  <pic:blipFill>
                    <a:blip r:embed="rId22">
                      <a:lum bright="20000" contrast="10000"/>
                    </a:blip>
                    <a:srcRect/>
                    <a:stretch>
                      <a:fillRect/>
                    </a:stretch>
                  </pic:blipFill>
                  <pic:spPr bwMode="auto">
                    <a:xfrm>
                      <a:off x="0" y="0"/>
                      <a:ext cx="2922595" cy="2474933"/>
                    </a:xfrm>
                    <a:prstGeom prst="rect">
                      <a:avLst/>
                    </a:prstGeom>
                    <a:noFill/>
                    <a:ln w="9525">
                      <a:noFill/>
                      <a:miter lim="800000"/>
                      <a:headEnd/>
                      <a:tailEnd/>
                    </a:ln>
                  </pic:spPr>
                </pic:pic>
              </a:graphicData>
            </a:graphic>
          </wp:inline>
        </w:drawing>
      </w:r>
      <w:r>
        <w:rPr>
          <w:noProof/>
          <w:lang w:eastAsia="de-DE"/>
        </w:rPr>
        <w:drawing>
          <wp:inline distT="0" distB="0" distL="0" distR="0">
            <wp:extent cx="2663765" cy="2475127"/>
            <wp:effectExtent l="19050" t="0" r="3235" b="0"/>
            <wp:docPr id="11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l="35908" t="26379" r="25613" b="16307"/>
                    <a:stretch>
                      <a:fillRect/>
                    </a:stretch>
                  </pic:blipFill>
                  <pic:spPr bwMode="auto">
                    <a:xfrm>
                      <a:off x="0" y="0"/>
                      <a:ext cx="2668158" cy="2479209"/>
                    </a:xfrm>
                    <a:prstGeom prst="rect">
                      <a:avLst/>
                    </a:prstGeom>
                    <a:noFill/>
                    <a:ln w="9525">
                      <a:noFill/>
                      <a:miter lim="800000"/>
                      <a:headEnd/>
                      <a:tailEnd/>
                    </a:ln>
                  </pic:spPr>
                </pic:pic>
              </a:graphicData>
            </a:graphic>
          </wp:inline>
        </w:drawing>
      </w:r>
    </w:p>
    <w:p w:rsidR="009E0659" w:rsidRDefault="009E0659" w:rsidP="009E0659">
      <w:pPr>
        <w:pStyle w:val="Beschriftung"/>
        <w:jc w:val="left"/>
      </w:pPr>
      <w:r>
        <w:t>Abb. 9 – Unterschiedliche Dichten von Pentan und Paraffin (links) bzw. Methan und Butan (rechts)</w:t>
      </w:r>
      <w:r>
        <w:rPr>
          <w:noProof/>
        </w:rPr>
        <w:t>.</w:t>
      </w:r>
    </w:p>
    <w:p w:rsidR="009E0659" w:rsidRDefault="009E0659" w:rsidP="009E0659">
      <w:pPr>
        <w:tabs>
          <w:tab w:val="left" w:pos="1701"/>
          <w:tab w:val="left" w:pos="1985"/>
        </w:tabs>
        <w:ind w:left="1980" w:hanging="1980"/>
      </w:pPr>
      <w:r>
        <w:t>Deutung:</w:t>
      </w:r>
      <w:r>
        <w:tab/>
      </w:r>
      <w:r>
        <w:tab/>
      </w:r>
      <w:r>
        <w:tab/>
        <w:t xml:space="preserve">Pentan hat eine signifikant niedrigere Dichte als Paraffin und bildet daher, obwohl beide Stoffe </w:t>
      </w:r>
      <w:proofErr w:type="spellStart"/>
      <w:r>
        <w:t>unpolar</w:t>
      </w:r>
      <w:proofErr w:type="spellEnd"/>
      <w:r>
        <w:t xml:space="preserve"> sind, eine getrennte Phase über dem Paraffin. Butan hat mit 0,60 g/cm</w:t>
      </w:r>
      <w:r>
        <w:rPr>
          <w:vertAlign w:val="superscript"/>
        </w:rPr>
        <w:t>3</w:t>
      </w:r>
      <w:r>
        <w:t xml:space="preserve"> eine höhere Dichte als Methan (0,42 g/cm</w:t>
      </w:r>
      <w:r>
        <w:rPr>
          <w:vertAlign w:val="superscript"/>
        </w:rPr>
        <w:t>3</w:t>
      </w:r>
      <w:r>
        <w:t>) und ist schwerer als Luft. Daher bleibt Butan auch im geöffneten Standzylinder am Boden des Zylinders und verbrennt dort, während Methan, welches leichter als Luft ist, aufsteigt und über dem Zylinder verbrennt.</w:t>
      </w:r>
    </w:p>
    <w:p w:rsidR="009E0659" w:rsidRDefault="009E0659" w:rsidP="009E0659">
      <w:pPr>
        <w:tabs>
          <w:tab w:val="left" w:pos="1701"/>
          <w:tab w:val="left" w:pos="1985"/>
        </w:tabs>
        <w:ind w:left="1980" w:hanging="1980"/>
        <w:rPr>
          <w:rFonts w:eastAsiaTheme="minorEastAsia"/>
        </w:rPr>
      </w:pPr>
      <w:r>
        <w:t>Entsorgung:</w:t>
      </w:r>
      <w:r>
        <w:tab/>
      </w:r>
      <w:r>
        <w:tab/>
        <w:t>Die Reste werden im Kanister für organische Lösungsmittelabfälle en</w:t>
      </w:r>
      <w:r>
        <w:t>t</w:t>
      </w:r>
      <w:r>
        <w:t>sorgt.</w:t>
      </w:r>
    </w:p>
    <w:p w:rsidR="009E0659" w:rsidRDefault="009E0659" w:rsidP="009E0659">
      <w:pPr>
        <w:spacing w:line="276" w:lineRule="auto"/>
        <w:ind w:left="1980" w:hanging="1980"/>
        <w:jc w:val="left"/>
      </w:pPr>
      <w:r>
        <w:t>Literatur:</w:t>
      </w:r>
      <w:r>
        <w:tab/>
        <w:t xml:space="preserve">W. Glöckner, W. Jansen, R. G. </w:t>
      </w:r>
      <w:proofErr w:type="spellStart"/>
      <w:r>
        <w:t>Weissenhorn</w:t>
      </w:r>
      <w:proofErr w:type="spellEnd"/>
      <w:r>
        <w:t xml:space="preserve">, Handbuch der experimentellen Chemie, </w:t>
      </w:r>
      <w:proofErr w:type="spellStart"/>
      <w:r>
        <w:t>Sekundarbereich</w:t>
      </w:r>
      <w:proofErr w:type="spellEnd"/>
      <w:r>
        <w:t xml:space="preserve"> II, Band 9: Kohlenwasserstoffe, </w:t>
      </w:r>
      <w:proofErr w:type="spellStart"/>
      <w:r>
        <w:t>Aulis</w:t>
      </w:r>
      <w:proofErr w:type="spellEnd"/>
      <w:r>
        <w:t xml:space="preserve"> Verlag </w:t>
      </w:r>
      <w:proofErr w:type="spellStart"/>
      <w:r>
        <w:t>Deubner</w:t>
      </w:r>
      <w:proofErr w:type="spellEnd"/>
      <w:r>
        <w:t xml:space="preserve"> (2005), S. 1</w:t>
      </w:r>
    </w:p>
    <w:p w:rsidR="009E0659" w:rsidRPr="00EC701F" w:rsidRDefault="009E0659" w:rsidP="009E0659">
      <w:pPr>
        <w:tabs>
          <w:tab w:val="left" w:pos="1701"/>
          <w:tab w:val="left" w:pos="1985"/>
        </w:tabs>
        <w:ind w:left="1980" w:hanging="1980"/>
        <w:rPr>
          <w:rFonts w:eastAsiaTheme="minorEastAsia"/>
        </w:rPr>
      </w:pPr>
      <w:r w:rsidRPr="00303A0A">
        <w:pict>
          <v:shape id="_x0000_s1043" type="#_x0000_t202" style="width:462.45pt;height:58.95pt;mso-position-horizontal-relative:char;mso-position-vertical-relative:line;mso-width-relative:margin;mso-height-relative:margin" fillcolor="white [3201]" strokecolor="#c0504d [3205]" strokeweight="1pt">
            <v:stroke dashstyle="dash"/>
            <v:shadow color="#868686"/>
            <v:textbox style="mso-next-textbox:#_x0000_s1043">
              <w:txbxContent>
                <w:p w:rsidR="009E0659" w:rsidRPr="00332EC3" w:rsidRDefault="009E0659" w:rsidP="009E0659">
                  <w:pPr>
                    <w:rPr>
                      <w:color w:val="auto"/>
                    </w:rPr>
                  </w:pPr>
                  <w:r w:rsidRPr="00332EC3">
                    <w:rPr>
                      <w:b/>
                      <w:color w:val="auto"/>
                    </w:rPr>
                    <w:t xml:space="preserve">Unterrichtsanschlüsse </w:t>
                  </w:r>
                  <w:r w:rsidRPr="00332EC3">
                    <w:rPr>
                      <w:color w:val="auto"/>
                    </w:rPr>
                    <w:t>Der Versuch kann als Einführung in die grundlegenden Eigenschaften der Alkane genutzt werden und veranschaulicht die intermolekularen Wechselwirkungen zw</w:t>
                  </w:r>
                  <w:r w:rsidRPr="00332EC3">
                    <w:rPr>
                      <w:color w:val="auto"/>
                    </w:rPr>
                    <w:t>i</w:t>
                  </w:r>
                  <w:r w:rsidRPr="00332EC3">
                    <w:rPr>
                      <w:color w:val="auto"/>
                    </w:rPr>
                    <w:t xml:space="preserve">schen den </w:t>
                  </w:r>
                  <w:proofErr w:type="spellStart"/>
                  <w:r w:rsidRPr="00332EC3">
                    <w:rPr>
                      <w:color w:val="auto"/>
                    </w:rPr>
                    <w:t>Alkanketten</w:t>
                  </w:r>
                  <w:proofErr w:type="spellEnd"/>
                  <w:r w:rsidRPr="00332EC3">
                    <w:rPr>
                      <w:color w:val="auto"/>
                    </w:rPr>
                    <w:t>.</w:t>
                  </w:r>
                </w:p>
              </w:txbxContent>
            </v:textbox>
            <w10:wrap type="none"/>
            <w10:anchorlock/>
          </v:shape>
        </w:pict>
      </w:r>
    </w:p>
    <w:p w:rsidR="009E0659" w:rsidRDefault="009E0659" w:rsidP="009E0659">
      <w:pPr>
        <w:tabs>
          <w:tab w:val="left" w:pos="1701"/>
          <w:tab w:val="left" w:pos="1985"/>
        </w:tabs>
        <w:ind w:left="1980" w:hanging="1980"/>
        <w:rPr>
          <w:color w:val="1F497D" w:themeColor="text2"/>
        </w:rPr>
      </w:pPr>
    </w:p>
    <w:p w:rsidR="00441602" w:rsidRPr="00441602" w:rsidRDefault="00441602" w:rsidP="00192873">
      <w:pPr>
        <w:tabs>
          <w:tab w:val="left" w:pos="1701"/>
          <w:tab w:val="left" w:pos="1985"/>
        </w:tabs>
        <w:ind w:left="1980" w:hanging="1980"/>
      </w:pPr>
    </w:p>
    <w:sectPr w:rsidR="00441602" w:rsidRPr="00441602" w:rsidSect="00105256">
      <w:headerReference w:type="default" r:id="rId24"/>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49" w:rsidRDefault="00A43D49" w:rsidP="009524CC">
      <w:pPr>
        <w:spacing w:after="0"/>
      </w:pPr>
      <w:r>
        <w:separator/>
      </w:r>
    </w:p>
  </w:endnote>
  <w:endnote w:type="continuationSeparator" w:id="0">
    <w:p w:rsidR="00A43D49" w:rsidRDefault="00A43D49"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49" w:rsidRDefault="00A43D49" w:rsidP="009524CC">
      <w:pPr>
        <w:spacing w:after="0"/>
      </w:pPr>
      <w:r>
        <w:separator/>
      </w:r>
    </w:p>
  </w:footnote>
  <w:footnote w:type="continuationSeparator" w:id="0">
    <w:p w:rsidR="00A43D49" w:rsidRDefault="00A43D49"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rPr>
              <w:sz w:val="20"/>
              <w:szCs w:val="20"/>
            </w:rPr>
          </w:pPr>
          <w:fldSimple w:instr=" STYLEREF  &quot;Überschrift 1&quot;  \* MERGEFORMAT ">
            <w:r w:rsidR="009E0659" w:rsidRPr="009E0659">
              <w:rPr>
                <w:b/>
                <w:bCs/>
                <w:noProof/>
                <w:sz w:val="20"/>
                <w:szCs w:val="20"/>
              </w:rPr>
              <w:t>V 8 – Dichte von Alkanen</w:t>
            </w:r>
          </w:fldSimple>
        </w:p>
      </w:tc>
      <w:tc>
        <w:tcPr>
          <w:tcW w:w="695"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9E0659">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425D"/>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873"/>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602"/>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5FB6"/>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659"/>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49"/>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554D"/>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4EFC"/>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962"/>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103"/>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de.wikipedia.org/wiki/H-_und_P-S%C3%A4tze"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de.wikipedia.org/wiki/H-_und_P-S%C3%A4tz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2.jpeg"/><Relationship Id="rId22" Type="http://schemas.openxmlformats.org/officeDocument/2006/relationships/image" Target="media/image10.jpeg"/><Relationship Id="rId27"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2532-F373-4A80-A28D-6BDCDEC7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2013-08-11T21:27:00Z</dcterms:created>
  <dcterms:modified xsi:type="dcterms:W3CDTF">2013-08-11T21:27:00Z</dcterms:modified>
</cp:coreProperties>
</file>