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ED" w:rsidRPr="00EA45ED" w:rsidRDefault="00EA45ED" w:rsidP="00EA45ED">
      <w:pPr>
        <w:rPr>
          <w:b/>
          <w:sz w:val="32"/>
          <w:szCs w:val="32"/>
        </w:rPr>
      </w:pPr>
      <w:r w:rsidRPr="00EA45ED">
        <w:rPr>
          <w:rFonts w:asciiTheme="majorHAnsi" w:eastAsiaTheme="majorEastAsia" w:hAnsiTheme="majorHAnsi" w:cstheme="majorBidi"/>
          <w:b/>
          <w:noProof/>
          <w:sz w:val="32"/>
          <w:szCs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.4pt;margin-top:40.15pt;width:462.45pt;height:44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42">
              <w:txbxContent>
                <w:p w:rsidR="00EA45ED" w:rsidRPr="00345D1B" w:rsidRDefault="00EA45ED" w:rsidP="00EA45ED">
                  <w:pPr>
                    <w:rPr>
                      <w:color w:val="auto"/>
                    </w:rPr>
                  </w:pPr>
                  <w:r w:rsidRPr="00345D1B">
                    <w:rPr>
                      <w:color w:val="auto"/>
                    </w:rPr>
                    <w:t>Dieser Versuch zeigt wie die Kristallisationswärme eines Salzes genutzt werden kann.</w:t>
                  </w:r>
                  <w:r>
                    <w:rPr>
                      <w:color w:val="auto"/>
                    </w:rPr>
                    <w:t xml:space="preserve"> SuS sol</w:t>
                  </w:r>
                  <w:r>
                    <w:rPr>
                      <w:color w:val="auto"/>
                    </w:rPr>
                    <w:t>l</w:t>
                  </w:r>
                  <w:r>
                    <w:rPr>
                      <w:color w:val="auto"/>
                    </w:rPr>
                    <w:t>ten mit Lösungsvorgängen und der Gitterenergie von Salzen vertraut sein.</w:t>
                  </w:r>
                </w:p>
              </w:txbxContent>
            </v:textbox>
            <w10:wrap type="square"/>
          </v:shape>
        </w:pict>
      </w:r>
      <w:bookmarkStart w:id="0" w:name="_Toc363508550"/>
      <w:r w:rsidRPr="00EA45ED">
        <w:rPr>
          <w:b/>
          <w:sz w:val="32"/>
          <w:szCs w:val="32"/>
        </w:rPr>
        <w:t>V4 – Der Taschenwärmer</w:t>
      </w:r>
      <w:bookmarkEnd w:id="0"/>
    </w:p>
    <w:p w:rsidR="00EA45ED" w:rsidRPr="00F548AA" w:rsidRDefault="00EA45ED" w:rsidP="00EA45ED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A45ED" w:rsidRPr="009C5E28" w:rsidTr="00E201E7">
        <w:tc>
          <w:tcPr>
            <w:tcW w:w="9322" w:type="dxa"/>
            <w:gridSpan w:val="9"/>
            <w:shd w:val="clear" w:color="auto" w:fill="4F81BD"/>
            <w:vAlign w:val="center"/>
          </w:tcPr>
          <w:p w:rsidR="00EA45ED" w:rsidRPr="009C5E28" w:rsidRDefault="00EA45ED" w:rsidP="00E201E7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EA45ED" w:rsidRPr="009C5E28" w:rsidTr="00E201E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Natriumacetat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EA45ED" w:rsidRPr="009C5E28" w:rsidTr="00E201E7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Dest.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EA45ED" w:rsidRPr="009C5E28" w:rsidRDefault="00EA45ED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A45ED" w:rsidRPr="009C5E28" w:rsidRDefault="00EA45ED" w:rsidP="00E201E7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45ED" w:rsidRPr="009C5E28" w:rsidTr="00E201E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A45ED" w:rsidRPr="009C5E28" w:rsidRDefault="00EA45ED" w:rsidP="00E201E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5ED" w:rsidRPr="00D919F5" w:rsidRDefault="00EA45ED" w:rsidP="00EA45ED"/>
    <w:p w:rsidR="00EA45ED" w:rsidRDefault="00EA45ED" w:rsidP="00EA45ED">
      <w:pPr>
        <w:pStyle w:val="Textkrper"/>
        <w:tabs>
          <w:tab w:val="left" w:pos="1701"/>
          <w:tab w:val="left" w:pos="1985"/>
        </w:tabs>
        <w:rPr>
          <w:color w:val="000000"/>
        </w:rPr>
      </w:pPr>
      <w:r>
        <w:rPr>
          <w:color w:val="000000"/>
        </w:rPr>
        <w:t>Materialien:</w:t>
      </w:r>
      <w:r>
        <w:rPr>
          <w:color w:val="000000"/>
        </w:rPr>
        <w:tab/>
      </w:r>
      <w:r>
        <w:rPr>
          <w:color w:val="000000"/>
        </w:rPr>
        <w:tab/>
        <w:t xml:space="preserve">Erlenmeyerkolben 300 mL, Thermometer, Bunsenbrenner, Dreifuß mit </w:t>
      </w:r>
      <w:r>
        <w:rPr>
          <w:color w:val="000000"/>
        </w:rPr>
        <w:tab/>
      </w:r>
      <w:r>
        <w:rPr>
          <w:color w:val="000000"/>
        </w:rPr>
        <w:tab/>
        <w:t>Drahtnetz, Glasstab</w:t>
      </w:r>
    </w:p>
    <w:p w:rsidR="00EA45ED" w:rsidRDefault="00EA45ED" w:rsidP="00EA45ED">
      <w:pPr>
        <w:pStyle w:val="Textkrper"/>
        <w:tabs>
          <w:tab w:val="left" w:pos="1701"/>
          <w:tab w:val="left" w:pos="1985"/>
        </w:tabs>
        <w:rPr>
          <w:color w:val="000000"/>
        </w:rPr>
      </w:pPr>
      <w:r>
        <w:rPr>
          <w:color w:val="000000"/>
        </w:rPr>
        <w:t>Chemikalien:</w:t>
      </w:r>
      <w:r>
        <w:rPr>
          <w:color w:val="000000"/>
        </w:rPr>
        <w:tab/>
      </w:r>
      <w:r>
        <w:rPr>
          <w:color w:val="000000"/>
        </w:rPr>
        <w:tab/>
        <w:t>Natriumacetat-Trihydrat, dest. Wasser</w:t>
      </w:r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  <w:r>
        <w:rPr>
          <w:color w:val="000000"/>
        </w:rPr>
        <w:t>Durchführung:</w:t>
      </w:r>
      <w:r>
        <w:rPr>
          <w:color w:val="000000"/>
        </w:rPr>
        <w:tab/>
      </w:r>
      <w:r>
        <w:rPr>
          <w:color w:val="000000"/>
        </w:rPr>
        <w:tab/>
        <w:t>In den Erlenmeyerkolben werden 25 g dest. Wasser und 250 g Natriumacetat-Trihydrat gegeben. Anschließend wird das Gemisch mit dem Bunsenbrenner so lange erhitzt, bis alles flüssig geworden ist. Das Gemisch wird auf 20°C herunter gekühlt. Am Rand des Erlenmeyerkolbens wird mit einem Glasstab entlang geritzt und die Temperatur gemessen.</w:t>
      </w:r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  <w:r>
        <w:rPr>
          <w:noProof/>
          <w:color w:val="000000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-37465</wp:posOffset>
            </wp:positionV>
            <wp:extent cx="1930400" cy="3251835"/>
            <wp:effectExtent l="19050" t="0" r="0" b="0"/>
            <wp:wrapSquare wrapText="bothSides"/>
            <wp:docPr id="54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325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  <w:r>
        <w:rPr>
          <w:color w:val="000000"/>
        </w:rPr>
        <w:t>Beobachtung:</w:t>
      </w:r>
      <w:r>
        <w:rPr>
          <w:color w:val="000000"/>
        </w:rPr>
        <w:tab/>
      </w:r>
      <w:r>
        <w:rPr>
          <w:color w:val="000000"/>
        </w:rPr>
        <w:tab/>
        <w:t xml:space="preserve">Nach anritzen mit dem Glasstab beginnt die Flüssigkeit auszukristallisieren und die Temperatur steigt auf 57°C. Bei erneuten erhitzen verflüssigen sich </w:t>
      </w:r>
      <w:r>
        <w:rPr>
          <w:color w:val="000000"/>
        </w:rPr>
        <w:tab/>
        <w:t>die Kristalle wieder.</w:t>
      </w:r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  <w:r>
        <w:rPr>
          <w:noProof/>
          <w:color w:val="000000"/>
          <w:lang w:eastAsia="de-DE"/>
        </w:rPr>
        <w:pict>
          <v:shape id="_x0000_s1044" type="#_x0000_t202" style="position:absolute;left:0;text-align:left;margin-left:293.3pt;margin-top:88.4pt;width:208.2pt;height:34.2pt;z-index:251663360;mso-width-relative:margin;mso-height-relative:margin" strokecolor="white [3212]">
            <v:textbox>
              <w:txbxContent>
                <w:p w:rsidR="00EA45ED" w:rsidRPr="006D289F" w:rsidRDefault="00EA45ED" w:rsidP="00EA45ED">
                  <w:pPr>
                    <w:rPr>
                      <w:sz w:val="18"/>
                      <w:szCs w:val="18"/>
                    </w:rPr>
                  </w:pPr>
                  <w:r w:rsidRPr="006D289F">
                    <w:rPr>
                      <w:sz w:val="18"/>
                      <w:szCs w:val="18"/>
                    </w:rPr>
                    <w:t>Abb.</w:t>
                  </w:r>
                  <w:r>
                    <w:rPr>
                      <w:sz w:val="18"/>
                      <w:szCs w:val="18"/>
                    </w:rPr>
                    <w:t>5 - Aufkochen der übersättigten Natriumac</w:t>
                  </w:r>
                  <w:r>
                    <w:rPr>
                      <w:sz w:val="18"/>
                      <w:szCs w:val="18"/>
                    </w:rPr>
                    <w:t>e</w:t>
                  </w:r>
                  <w:r>
                    <w:rPr>
                      <w:sz w:val="18"/>
                      <w:szCs w:val="18"/>
                    </w:rPr>
                    <w:t>tat-Lösung</w:t>
                  </w:r>
                </w:p>
              </w:txbxContent>
            </v:textbox>
            <w10:wrap type="square"/>
          </v:shape>
        </w:pict>
      </w:r>
      <w:r>
        <w:rPr>
          <w:color w:val="000000"/>
        </w:rPr>
        <w:t>Deutung:</w:t>
      </w:r>
      <w:r>
        <w:rPr>
          <w:color w:val="000000"/>
        </w:rPr>
        <w:tab/>
      </w:r>
      <w:r>
        <w:rPr>
          <w:color w:val="000000"/>
        </w:rPr>
        <w:tab/>
        <w:t xml:space="preserve">Durch die Erwärmung liegt Natriumacetat-Trihydrat im „Ladungs-Zustand“ vor und die Kristallisation des Salzes bleibt bei vorsichtiger Handhabung aus. Erst durch ein Anstoßen wird dieser Zustand gestört. </w:t>
      </w:r>
      <w:r>
        <w:rPr>
          <w:color w:val="000000"/>
        </w:rPr>
        <w:lastRenderedPageBreak/>
        <w:t xml:space="preserve">Das Salz kristallisiert aus und die latent gespeicherte Wärme wird freigegeben. </w:t>
      </w:r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C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</w:rPr>
            <m:t>CO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  <w:color w:val="000000"/>
                </w:rPr>
                <m:t>-</m:t>
              </m:r>
            </m:sup>
          </m:sSubSup>
          <m:r>
            <w:rPr>
              <w:rFonts w:ascii="Cambria Math" w:hAnsi="Cambria Math"/>
              <w:color w:val="000000"/>
            </w:rPr>
            <m:t>+N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aq</m:t>
                  </m:r>
                </m:e>
              </m:d>
            </m:sub>
            <m:sup>
              <m:r>
                <w:rPr>
                  <w:rFonts w:ascii="Cambria Math" w:hAnsi="Cambria Math"/>
                  <w:color w:val="000000"/>
                </w:rPr>
                <m:t>+</m:t>
              </m:r>
            </m:sup>
          </m:sSubSup>
          <m:r>
            <w:rPr>
              <w:rFonts w:ascii="Cambria Math" w:hAnsi="Cambria Math"/>
              <w:color w:val="000000"/>
            </w:rPr>
            <m:t>+3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</m:d>
            </m:sub>
          </m:sSub>
          <m:r>
            <w:rPr>
              <w:rFonts w:ascii="Cambria Math" w:hAnsi="Cambria Math"/>
              <w:color w:val="000000"/>
            </w:rPr>
            <m:t>→C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</w:rPr>
                <m:t>3</m:t>
              </m:r>
            </m:sub>
          </m:sSub>
          <m:r>
            <w:rPr>
              <w:rFonts w:ascii="Cambria Math" w:hAnsi="Cambria Math"/>
              <w:color w:val="000000"/>
            </w:rPr>
            <m:t>COONa∙3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s</m:t>
                  </m:r>
                </m:e>
              </m:d>
            </m:sub>
          </m:sSub>
        </m:oMath>
      </m:oMathPara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Die latente Wärme besteht zu einem Teil aus der Lösungs- bzw. Kristallisationswärme des Salzes und zum Anderen aus der stark exothermen Bildung des Wassermolekül-Gitters und stellt die Bildungswärme des Salzhydrats dar. </w:t>
      </w:r>
    </w:p>
    <w:p w:rsidR="00EA45ED" w:rsidRDefault="00EA45ED" w:rsidP="00EA45ED">
      <w:pPr>
        <w:pStyle w:val="Textkrper"/>
        <w:tabs>
          <w:tab w:val="left" w:pos="1701"/>
          <w:tab w:val="left" w:pos="1985"/>
        </w:tabs>
        <w:ind w:left="1979" w:hanging="1979"/>
        <w:rPr>
          <w:color w:val="000000"/>
        </w:rPr>
      </w:pPr>
      <w:r>
        <w:rPr>
          <w:color w:val="000000"/>
        </w:rPr>
        <w:t>Entsorgung:</w:t>
      </w:r>
      <w:r>
        <w:rPr>
          <w:color w:val="000000"/>
        </w:rPr>
        <w:tab/>
      </w:r>
      <w:r>
        <w:rPr>
          <w:color w:val="000000"/>
        </w:rPr>
        <w:tab/>
        <w:t>Natriumacetat mit viel Wasser über den Ausguss entsorgen.</w:t>
      </w:r>
    </w:p>
    <w:p w:rsidR="00EA45ED" w:rsidRDefault="00EA45ED" w:rsidP="00EA45ED">
      <w:pPr>
        <w:tabs>
          <w:tab w:val="left" w:pos="1701"/>
          <w:tab w:val="left" w:pos="1985"/>
        </w:tabs>
        <w:ind w:left="1980" w:hanging="1980"/>
      </w:pPr>
      <w:r w:rsidRPr="00C40F6A">
        <w:rPr>
          <w:noProof/>
          <w:color w:val="000000"/>
          <w:lang w:eastAsia="de-DE"/>
        </w:rPr>
        <w:pict>
          <v:shape id="_x0000_s1043" type="#_x0000_t202" style="position:absolute;left:0;text-align:left;margin-left:-2.25pt;margin-top:73.25pt;width:462.45pt;height:75.2pt;z-index:251661312;mso-width-relative:margin;mso-height-relative:margin" strokecolor="red">
            <v:stroke dashstyle="dash"/>
            <v:textbox>
              <w:txbxContent>
                <w:p w:rsidR="00EA45ED" w:rsidRDefault="00EA45ED" w:rsidP="00EA45ED">
                  <w:r>
                    <w:t>Dieser Versuch dient als Modellexperiment für einen handelsüblichen Taschenwärmer und zeigt dessen Funktionsweise auf.</w:t>
                  </w:r>
                </w:p>
                <w:p w:rsidR="00EA45ED" w:rsidRDefault="00EA45ED" w:rsidP="00EA45ED">
                  <w:r>
                    <w:t>Er eignet sich sehr gut, um Lösungsenthalpien und Gitterenergien im Unterricht zu besprechen.</w:t>
                  </w:r>
                </w:p>
              </w:txbxContent>
            </v:textbox>
            <w10:wrap type="square"/>
          </v:shape>
        </w:pict>
      </w:r>
      <w:r>
        <w:rPr>
          <w:rFonts w:eastAsia="Calibri" w:cs="Times New Roman"/>
          <w:color w:val="000000"/>
        </w:rPr>
        <w:t>Literatur:</w:t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  <w:t xml:space="preserve">[1] Prof. Dr. Blume, Wärmekissen: schnelle Wärme aus Kristallen, </w:t>
      </w:r>
      <w:r w:rsidRPr="00CD118A">
        <w:t>http://www.chemieunterricht.de/dc2/tip/01_99.htm</w:t>
      </w:r>
      <w:r>
        <w:t>, zuletzt abgerufen am 05.08.2013</w:t>
      </w:r>
    </w:p>
    <w:p w:rsidR="00EA45ED" w:rsidRDefault="00EA45ED" w:rsidP="00EA45ED">
      <w:pPr>
        <w:tabs>
          <w:tab w:val="left" w:pos="1701"/>
          <w:tab w:val="left" w:pos="1985"/>
        </w:tabs>
        <w:ind w:left="1980" w:hanging="1980"/>
        <w:rPr>
          <w:color w:val="000000"/>
        </w:rPr>
      </w:pPr>
    </w:p>
    <w:p w:rsidR="00C31120" w:rsidRPr="00EA45ED" w:rsidRDefault="00C31120" w:rsidP="00EA45ED"/>
    <w:sectPr w:rsidR="00C31120" w:rsidRPr="00EA45ED" w:rsidSect="00C3112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0F" w:rsidRDefault="0069350F" w:rsidP="0007623E">
      <w:pPr>
        <w:spacing w:after="0" w:line="240" w:lineRule="auto"/>
      </w:pPr>
      <w:r>
        <w:separator/>
      </w:r>
    </w:p>
  </w:endnote>
  <w:endnote w:type="continuationSeparator" w:id="1">
    <w:p w:rsidR="0069350F" w:rsidRDefault="0069350F" w:rsidP="000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0F" w:rsidRDefault="0069350F" w:rsidP="0007623E">
      <w:pPr>
        <w:spacing w:after="0" w:line="240" w:lineRule="auto"/>
      </w:pPr>
      <w:r>
        <w:separator/>
      </w:r>
    </w:p>
  </w:footnote>
  <w:footnote w:type="continuationSeparator" w:id="1">
    <w:p w:rsidR="0069350F" w:rsidRDefault="0069350F" w:rsidP="0007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3E" w:rsidRDefault="00E113F3">
    <w:pPr>
      <w:pStyle w:val="Kopfzeile"/>
    </w:pPr>
    <w:r>
      <w:t>V</w:t>
    </w:r>
    <w:r w:rsidR="00EA45ED">
      <w:t>4</w:t>
    </w:r>
    <w:r>
      <w:t xml:space="preserve"> - </w:t>
    </w:r>
    <w:r w:rsidR="00EA45ED">
      <w:t>Der Taschenwärmer</w:t>
    </w:r>
    <w:r w:rsidR="0096712D">
      <w:tab/>
    </w:r>
    <w:r w:rsidR="0096712D">
      <w:tab/>
    </w:r>
    <w:r w:rsidR="0096712D">
      <w:tab/>
    </w:r>
    <w:fldSimple w:instr=" PAGE   \* MERGEFORMAT ">
      <w:r w:rsidR="00EA45E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3E"/>
    <w:rsid w:val="0007623E"/>
    <w:rsid w:val="002E5E80"/>
    <w:rsid w:val="004A194E"/>
    <w:rsid w:val="0069350F"/>
    <w:rsid w:val="008A594E"/>
    <w:rsid w:val="0096712D"/>
    <w:rsid w:val="009A7400"/>
    <w:rsid w:val="00C31120"/>
    <w:rsid w:val="00E113F3"/>
    <w:rsid w:val="00EA45ED"/>
    <w:rsid w:val="00F4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623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623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623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623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62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62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62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623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623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623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623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623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62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62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62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62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7623E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23E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23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07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7623E"/>
    <w:rPr>
      <w:rFonts w:ascii="Cambria" w:hAnsi="Cambria"/>
      <w:color w:val="1D1B11" w:themeColor="background2" w:themeShade="1A"/>
    </w:rPr>
  </w:style>
  <w:style w:type="paragraph" w:styleId="Textkrper">
    <w:name w:val="Body Text"/>
    <w:basedOn w:val="Standard"/>
    <w:link w:val="TextkrperZchn"/>
    <w:rsid w:val="00E113F3"/>
    <w:pPr>
      <w:suppressAutoHyphens/>
      <w:spacing w:after="120"/>
    </w:pPr>
    <w:rPr>
      <w:rFonts w:eastAsia="Arial Unicode MS" w:cs="Calibri"/>
      <w:color w:val="1D1B11"/>
      <w:kern w:val="1"/>
    </w:rPr>
  </w:style>
  <w:style w:type="character" w:customStyle="1" w:styleId="TextkrperZchn">
    <w:name w:val="Textkörper Zchn"/>
    <w:basedOn w:val="Absatz-Standardschriftart"/>
    <w:link w:val="Textkrper"/>
    <w:rsid w:val="00E113F3"/>
    <w:rPr>
      <w:rFonts w:ascii="Cambria" w:eastAsia="Arial Unicode MS" w:hAnsi="Cambria" w:cs="Calibri"/>
      <w:color w:val="1D1B1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7285-7A4B-4B92-86AB-DF02FA45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1417</Characters>
  <Application>Microsoft Office Word</Application>
  <DocSecurity>0</DocSecurity>
  <Lines>11</Lines>
  <Paragraphs>3</Paragraphs>
  <ScaleCrop>false</ScaleCrop>
  <Company>Frost-RL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Wuttke</dc:creator>
  <cp:lastModifiedBy>Axel Wuttke</cp:lastModifiedBy>
  <cp:revision>2</cp:revision>
  <dcterms:created xsi:type="dcterms:W3CDTF">2013-08-12T20:10:00Z</dcterms:created>
  <dcterms:modified xsi:type="dcterms:W3CDTF">2013-08-12T20:10:00Z</dcterms:modified>
</cp:coreProperties>
</file>