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E5" w:rsidRDefault="00A24CE5" w:rsidP="00A24CE5">
      <w:pPr>
        <w:pStyle w:val="berschrift1"/>
        <w:numPr>
          <w:ilvl w:val="0"/>
          <w:numId w:val="0"/>
        </w:numPr>
        <w:ind w:left="431" w:hanging="431"/>
      </w:pPr>
      <w:bookmarkStart w:id="0" w:name="_Toc364276452"/>
      <w:r>
        <w:rPr>
          <w:noProof/>
          <w:lang w:eastAsia="de-DE"/>
        </w:rPr>
        <mc:AlternateContent>
          <mc:Choice Requires="wps">
            <w:drawing>
              <wp:anchor distT="0" distB="0" distL="114300" distR="114300" simplePos="0" relativeHeight="251659264" behindDoc="0" locked="0" layoutInCell="1" allowOverlap="1" wp14:anchorId="66FE2A3A" wp14:editId="3FA6DDC5">
                <wp:simplePos x="0" y="0"/>
                <wp:positionH relativeFrom="column">
                  <wp:posOffset>-635</wp:posOffset>
                </wp:positionH>
                <wp:positionV relativeFrom="paragraph">
                  <wp:posOffset>615315</wp:posOffset>
                </wp:positionV>
                <wp:extent cx="5873115" cy="804545"/>
                <wp:effectExtent l="0" t="0" r="13335" b="14605"/>
                <wp:wrapSquare wrapText="bothSides"/>
                <wp:docPr id="74" name="Textfeld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454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4CE5" w:rsidRPr="00CD03BD" w:rsidRDefault="00A24CE5" w:rsidP="00A24CE5">
                            <w:pPr>
                              <w:rPr>
                                <w:color w:val="1F497D"/>
                              </w:rPr>
                            </w:pPr>
                            <w:r>
                              <w:rPr>
                                <w:color w:val="auto"/>
                              </w:rPr>
                              <w:t>In diesem Versuch wird konzentrierte Salzsäure zum Sieden gebracht und anschließend in mit Indikator versetztem Wasser gelöst. Als Vorkenntnisse müssen die SuS wissen, wie Indikatoren funktionieren und im Speziellen, was unter einem Universalindikator zu verstehen 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4" o:spid="_x0000_s1026" type="#_x0000_t202" style="position:absolute;left:0;text-align:left;margin-left:-.05pt;margin-top:48.45pt;width:462.4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" strokecolor="#4bacc6" strokeweight="1pt">
                <v:stroke dashstyle="dash"/>
                <v:shadow color="#868686"/>
                <v:textbox>
                  <w:txbxContent>
                    <w:p w:rsidR="00A24CE5" w:rsidRPr="00CD03BD" w:rsidRDefault="00A24CE5" w:rsidP="00A24CE5">
                      <w:pPr>
                        <w:rPr>
                          <w:color w:val="1F497D"/>
                        </w:rPr>
                      </w:pPr>
                      <w:r>
                        <w:rPr>
                          <w:color w:val="auto"/>
                        </w:rPr>
                        <w:t>In diesem Versuch wird konzentrierte Salzsäure zum Sieden gebracht und anschließend in mit Indikator versetztem Wasser gelöst. Als Vorkenntnisse müssen die SuS wissen, wie Indikatoren funktionieren und im Speziellen, was unter einem Universalindikator zu verstehen ist.</w:t>
                      </w:r>
                    </w:p>
                  </w:txbxContent>
                </v:textbox>
                <w10:wrap type="square"/>
              </v:shape>
            </w:pict>
          </mc:Fallback>
        </mc:AlternateContent>
      </w:r>
      <w:bookmarkStart w:id="1" w:name="_GoBack"/>
      <w:bookmarkEnd w:id="1"/>
      <w:r>
        <w:t>V 1 – Das durstige Gas</w:t>
      </w:r>
      <w:bookmarkEnd w:id="0"/>
    </w:p>
    <w:p w:rsidR="00A24CE5" w:rsidRDefault="00A24CE5" w:rsidP="00A24CE5"/>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24CE5" w:rsidRPr="00CD03BD" w:rsidTr="00EC1445">
        <w:tc>
          <w:tcPr>
            <w:tcW w:w="9322" w:type="dxa"/>
            <w:gridSpan w:val="9"/>
            <w:shd w:val="clear" w:color="auto" w:fill="4F81BD"/>
            <w:vAlign w:val="center"/>
          </w:tcPr>
          <w:p w:rsidR="00A24CE5" w:rsidRPr="00CD03BD" w:rsidRDefault="00A24CE5" w:rsidP="00EC1445">
            <w:pPr>
              <w:spacing w:after="0"/>
              <w:jc w:val="center"/>
              <w:rPr>
                <w:b/>
                <w:bCs/>
              </w:rPr>
            </w:pPr>
            <w:r w:rsidRPr="00CD03BD">
              <w:rPr>
                <w:b/>
                <w:bCs/>
              </w:rPr>
              <w:t>Gefahrenstoffe</w:t>
            </w:r>
          </w:p>
        </w:tc>
      </w:tr>
      <w:tr w:rsidR="00A24CE5" w:rsidRPr="00CD03BD" w:rsidTr="00EC14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24CE5" w:rsidRPr="006C34A1" w:rsidRDefault="00A24CE5" w:rsidP="00EC1445">
            <w:pPr>
              <w:jc w:val="center"/>
              <w:rPr>
                <w:bCs/>
                <w:sz w:val="20"/>
                <w:szCs w:val="20"/>
              </w:rPr>
            </w:pPr>
            <w:r>
              <w:rPr>
                <w:bCs/>
                <w:sz w:val="20"/>
                <w:szCs w:val="20"/>
              </w:rPr>
              <w:t>Konzentrierte Salzsäure</w:t>
            </w:r>
          </w:p>
        </w:tc>
        <w:tc>
          <w:tcPr>
            <w:tcW w:w="3177" w:type="dxa"/>
            <w:gridSpan w:val="3"/>
            <w:tcBorders>
              <w:top w:val="single" w:sz="8" w:space="0" w:color="4F81BD"/>
              <w:bottom w:val="single" w:sz="8" w:space="0" w:color="4F81BD"/>
            </w:tcBorders>
            <w:shd w:val="clear" w:color="auto" w:fill="auto"/>
            <w:vAlign w:val="center"/>
          </w:tcPr>
          <w:p w:rsidR="00A24CE5" w:rsidRPr="006C34A1" w:rsidRDefault="00A24CE5" w:rsidP="00EC1445">
            <w:pPr>
              <w:jc w:val="center"/>
              <w:rPr>
                <w:sz w:val="20"/>
                <w:szCs w:val="20"/>
              </w:rPr>
            </w:pPr>
            <w:r>
              <w:rPr>
                <w:sz w:val="20"/>
                <w:szCs w:val="20"/>
              </w:rPr>
              <w:t>H: 290-314-335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24CE5" w:rsidRPr="006C34A1" w:rsidRDefault="00A24CE5" w:rsidP="00EC1445">
            <w:pPr>
              <w:jc w:val="center"/>
              <w:rPr>
                <w:sz w:val="20"/>
                <w:szCs w:val="20"/>
              </w:rPr>
            </w:pPr>
            <w:r>
              <w:rPr>
                <w:sz w:val="20"/>
                <w:szCs w:val="20"/>
              </w:rPr>
              <w:t>P: 234-260-304+340-303+361+353+305+351+338-309+311-501</w:t>
            </w:r>
          </w:p>
        </w:tc>
      </w:tr>
      <w:tr w:rsidR="00A24CE5" w:rsidRPr="00CD03BD" w:rsidTr="00EC1445">
        <w:trPr>
          <w:trHeight w:val="434"/>
        </w:trPr>
        <w:tc>
          <w:tcPr>
            <w:tcW w:w="3027" w:type="dxa"/>
            <w:gridSpan w:val="3"/>
            <w:shd w:val="clear" w:color="auto" w:fill="auto"/>
            <w:vAlign w:val="center"/>
          </w:tcPr>
          <w:p w:rsidR="00A24CE5" w:rsidRPr="00326691" w:rsidRDefault="00A24CE5" w:rsidP="00EC1445">
            <w:pPr>
              <w:jc w:val="center"/>
              <w:rPr>
                <w:bCs/>
                <w:sz w:val="20"/>
                <w:szCs w:val="20"/>
              </w:rPr>
            </w:pPr>
            <w:r w:rsidRPr="00326691">
              <w:rPr>
                <w:bCs/>
                <w:sz w:val="20"/>
                <w:szCs w:val="20"/>
              </w:rPr>
              <w:t>Universalindikator</w:t>
            </w:r>
          </w:p>
        </w:tc>
        <w:tc>
          <w:tcPr>
            <w:tcW w:w="3177" w:type="dxa"/>
            <w:gridSpan w:val="3"/>
            <w:shd w:val="clear" w:color="auto" w:fill="auto"/>
            <w:vAlign w:val="center"/>
          </w:tcPr>
          <w:p w:rsidR="00A24CE5" w:rsidRPr="00326691" w:rsidRDefault="00A24CE5" w:rsidP="00EC1445">
            <w:pPr>
              <w:jc w:val="center"/>
              <w:rPr>
                <w:sz w:val="20"/>
                <w:szCs w:val="20"/>
              </w:rPr>
            </w:pPr>
            <w:r w:rsidRPr="00326691">
              <w:rPr>
                <w:sz w:val="20"/>
                <w:szCs w:val="20"/>
              </w:rPr>
              <w:t>H: -</w:t>
            </w:r>
          </w:p>
        </w:tc>
        <w:tc>
          <w:tcPr>
            <w:tcW w:w="3118" w:type="dxa"/>
            <w:gridSpan w:val="3"/>
            <w:shd w:val="clear" w:color="auto" w:fill="auto"/>
            <w:vAlign w:val="center"/>
          </w:tcPr>
          <w:p w:rsidR="00A24CE5" w:rsidRPr="00326691" w:rsidRDefault="00A24CE5" w:rsidP="00EC1445">
            <w:pPr>
              <w:jc w:val="center"/>
              <w:rPr>
                <w:sz w:val="20"/>
                <w:szCs w:val="20"/>
              </w:rPr>
            </w:pPr>
            <w:r w:rsidRPr="00326691">
              <w:rPr>
                <w:sz w:val="20"/>
                <w:szCs w:val="20"/>
              </w:rPr>
              <w:t>P: -</w:t>
            </w:r>
          </w:p>
        </w:tc>
      </w:tr>
      <w:tr w:rsidR="00A24CE5" w:rsidRPr="00CD03BD" w:rsidTr="00EC1445">
        <w:tc>
          <w:tcPr>
            <w:tcW w:w="1009" w:type="dxa"/>
            <w:tcBorders>
              <w:top w:val="single" w:sz="8" w:space="0" w:color="4F81BD"/>
              <w:left w:val="single" w:sz="8" w:space="0" w:color="4F81BD"/>
              <w:bottom w:val="single" w:sz="8" w:space="0" w:color="4F81BD"/>
            </w:tcBorders>
            <w:shd w:val="clear" w:color="auto" w:fill="auto"/>
            <w:vAlign w:val="center"/>
          </w:tcPr>
          <w:p w:rsidR="00A24CE5" w:rsidRPr="00CD03BD" w:rsidRDefault="00A24CE5" w:rsidP="00EC1445">
            <w:pPr>
              <w:spacing w:after="0"/>
              <w:jc w:val="center"/>
              <w:rPr>
                <w:b/>
                <w:bCs/>
              </w:rPr>
            </w:pPr>
            <w:r>
              <w:rPr>
                <w:b/>
                <w:bCs/>
                <w:noProof/>
                <w:lang w:eastAsia="de-DE"/>
              </w:rPr>
              <w:drawing>
                <wp:inline distT="0" distB="0" distL="0" distR="0" wp14:anchorId="295889AF" wp14:editId="44A6D9E9">
                  <wp:extent cx="517525" cy="517525"/>
                  <wp:effectExtent l="0" t="0" r="0" b="0"/>
                  <wp:docPr id="62" name="Grafik 62"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tz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4CE5" w:rsidRPr="00CD03BD" w:rsidRDefault="00A24CE5" w:rsidP="00EC1445">
            <w:pPr>
              <w:spacing w:after="0"/>
              <w:jc w:val="center"/>
            </w:pPr>
            <w:r>
              <w:rPr>
                <w:noProof/>
                <w:lang w:eastAsia="de-DE"/>
              </w:rPr>
              <w:drawing>
                <wp:inline distT="0" distB="0" distL="0" distR="0" wp14:anchorId="5002A998" wp14:editId="1130FFEB">
                  <wp:extent cx="500380" cy="50038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4CE5" w:rsidRPr="00CD03BD" w:rsidRDefault="00A24CE5" w:rsidP="00EC1445">
            <w:pPr>
              <w:spacing w:after="0"/>
              <w:jc w:val="center"/>
            </w:pPr>
            <w:r>
              <w:rPr>
                <w:noProof/>
                <w:lang w:eastAsia="de-DE"/>
              </w:rPr>
              <w:drawing>
                <wp:inline distT="0" distB="0" distL="0" distR="0" wp14:anchorId="1FD689BA" wp14:editId="046E769F">
                  <wp:extent cx="500380" cy="50038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4CE5" w:rsidRPr="00CD03BD" w:rsidRDefault="00A24CE5" w:rsidP="00EC1445">
            <w:pPr>
              <w:spacing w:after="0"/>
              <w:jc w:val="center"/>
            </w:pPr>
            <w:r>
              <w:rPr>
                <w:noProof/>
                <w:lang w:eastAsia="de-DE"/>
              </w:rPr>
              <w:drawing>
                <wp:inline distT="0" distB="0" distL="0" distR="0" wp14:anchorId="1CC96145" wp14:editId="74A54DAF">
                  <wp:extent cx="500380" cy="50038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24CE5" w:rsidRPr="00CD03BD" w:rsidRDefault="00A24CE5" w:rsidP="00EC1445">
            <w:pPr>
              <w:spacing w:after="0"/>
              <w:jc w:val="center"/>
            </w:pPr>
            <w:r>
              <w:rPr>
                <w:noProof/>
                <w:lang w:eastAsia="de-DE"/>
              </w:rPr>
              <w:drawing>
                <wp:inline distT="0" distB="0" distL="0" distR="0" wp14:anchorId="04A22691" wp14:editId="5BAE430B">
                  <wp:extent cx="500380" cy="50038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24CE5" w:rsidRPr="00CD03BD" w:rsidRDefault="00A24CE5" w:rsidP="00EC1445">
            <w:pPr>
              <w:spacing w:after="0"/>
              <w:jc w:val="center"/>
            </w:pPr>
            <w:r>
              <w:rPr>
                <w:noProof/>
                <w:lang w:eastAsia="de-DE"/>
              </w:rPr>
              <w:drawing>
                <wp:inline distT="0" distB="0" distL="0" distR="0" wp14:anchorId="474EE9F1" wp14:editId="3971A070">
                  <wp:extent cx="500380" cy="50038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24CE5" w:rsidRPr="00CD03BD" w:rsidRDefault="00A24CE5" w:rsidP="00EC1445">
            <w:pPr>
              <w:spacing w:after="0"/>
              <w:jc w:val="center"/>
            </w:pPr>
            <w:r>
              <w:rPr>
                <w:noProof/>
                <w:lang w:eastAsia="de-DE"/>
              </w:rPr>
              <w:drawing>
                <wp:inline distT="0" distB="0" distL="0" distR="0" wp14:anchorId="5724B304" wp14:editId="35F4817C">
                  <wp:extent cx="500380" cy="50038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24CE5" w:rsidRPr="00CD03BD" w:rsidRDefault="00A24CE5" w:rsidP="00EC1445">
            <w:pPr>
              <w:spacing w:after="0"/>
              <w:jc w:val="center"/>
            </w:pPr>
            <w:r>
              <w:rPr>
                <w:noProof/>
                <w:lang w:eastAsia="de-DE"/>
              </w:rPr>
              <w:drawing>
                <wp:inline distT="0" distB="0" distL="0" distR="0" wp14:anchorId="00185482" wp14:editId="406EA644">
                  <wp:extent cx="526415" cy="526415"/>
                  <wp:effectExtent l="0" t="0" r="6985" b="6985"/>
                  <wp:docPr id="55" name="Grafik 55"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ize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24CE5" w:rsidRPr="00CD03BD" w:rsidRDefault="00A24CE5" w:rsidP="00EC1445">
            <w:pPr>
              <w:spacing w:after="0"/>
              <w:jc w:val="center"/>
            </w:pPr>
            <w:r>
              <w:rPr>
                <w:noProof/>
                <w:lang w:eastAsia="de-DE"/>
              </w:rPr>
              <w:drawing>
                <wp:inline distT="0" distB="0" distL="0" distR="0" wp14:anchorId="6FED4A88" wp14:editId="7D5123FC">
                  <wp:extent cx="500380" cy="50038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A24CE5" w:rsidRDefault="00A24CE5" w:rsidP="00A24CE5">
      <w:pPr>
        <w:tabs>
          <w:tab w:val="left" w:pos="1701"/>
          <w:tab w:val="left" w:pos="1985"/>
        </w:tabs>
        <w:ind w:left="1980" w:hanging="1980"/>
      </w:pPr>
    </w:p>
    <w:p w:rsidR="00A24CE5" w:rsidRDefault="00A24CE5" w:rsidP="00A24CE5">
      <w:pPr>
        <w:tabs>
          <w:tab w:val="left" w:pos="1701"/>
          <w:tab w:val="left" w:pos="1985"/>
        </w:tabs>
        <w:ind w:left="1980" w:hanging="1980"/>
      </w:pPr>
      <w:r>
        <w:t xml:space="preserve">Materialien: </w:t>
      </w:r>
      <w:r>
        <w:tab/>
      </w:r>
      <w:r>
        <w:tab/>
        <w:t>Duran-Reagenzglas, durchbohrter Gummistopfen, Glasdüse, Reagenzgla</w:t>
      </w:r>
      <w:r>
        <w:t>s</w:t>
      </w:r>
      <w:r>
        <w:t>klammer, Bunsenbrenner, 500 mL Becherglas, Pipette</w:t>
      </w:r>
    </w:p>
    <w:p w:rsidR="00A24CE5" w:rsidRPr="00ED07C2" w:rsidRDefault="00A24CE5" w:rsidP="00A24CE5">
      <w:pPr>
        <w:tabs>
          <w:tab w:val="left" w:pos="1701"/>
          <w:tab w:val="left" w:pos="1985"/>
        </w:tabs>
        <w:ind w:left="1980" w:hanging="1980"/>
      </w:pPr>
      <w:r>
        <w:t>Chemikalien:</w:t>
      </w:r>
      <w:r>
        <w:tab/>
      </w:r>
      <w:r>
        <w:tab/>
        <w:t>Konzentrierte Salzsäure, Universalindikator</w:t>
      </w:r>
    </w:p>
    <w:p w:rsidR="00A24CE5" w:rsidRDefault="00A24CE5" w:rsidP="00A24CE5">
      <w:pPr>
        <w:tabs>
          <w:tab w:val="left" w:pos="1701"/>
          <w:tab w:val="left" w:pos="1985"/>
        </w:tabs>
        <w:ind w:left="1980" w:hanging="1980"/>
      </w:pPr>
      <w:r>
        <w:t xml:space="preserve">Durchführung: </w:t>
      </w:r>
      <w:r>
        <w:tab/>
      </w:r>
      <w:r>
        <w:tab/>
      </w:r>
      <w:r>
        <w:tab/>
        <w:t>Im Becherglas werden etwa 300 mL Universalindikatorlösung vorgegeben. Die Glasdüse wird durch den einfach durchbohrten Gummistopfen g</w:t>
      </w:r>
      <w:r>
        <w:t>e</w:t>
      </w:r>
      <w:r>
        <w:t xml:space="preserve">steckt, sodass die Spitze in Richtung des sich verjüngenden Endes zeigt. Der Stopfen wird auf das Reagenzglas gesetzt. Anschließend wird in das Reagenzglas ca. 2 cm hoch Salzsäure gegeben. Dabei ist darauf zu achten, dass die Spitze </w:t>
      </w:r>
      <w:r>
        <w:t>bei umgedrehtem</w:t>
      </w:r>
      <w:r>
        <w:t xml:space="preserve"> Reagenzglas nicht von der Flüssigkeit bedeckt ist. Die Salzsäure wird vorsichtig über dem Bunsenbrenner erhitzt, bis eine deutliche Gasentwicklung zu erkennen ist. Anschließend wird das Reagenzglas umgedreht und in die Indikatorlösung im Becherglas eing</w:t>
      </w:r>
      <w:r>
        <w:t>e</w:t>
      </w:r>
      <w:r>
        <w:t>taucht.</w:t>
      </w:r>
    </w:p>
    <w:p w:rsidR="00A24CE5" w:rsidRDefault="00A24CE5" w:rsidP="00A24CE5">
      <w:pPr>
        <w:tabs>
          <w:tab w:val="left" w:pos="1701"/>
          <w:tab w:val="left" w:pos="1985"/>
        </w:tabs>
        <w:ind w:left="1980" w:hanging="1980"/>
      </w:pPr>
      <w:r>
        <w:t>Beobachtung:</w:t>
      </w:r>
      <w:r>
        <w:tab/>
      </w:r>
      <w:r>
        <w:tab/>
      </w:r>
      <w:r>
        <w:tab/>
        <w:t>Die gelb-grüne Indikatorlösung steigt durch die Glasdüse in das Reagen</w:t>
      </w:r>
      <w:r>
        <w:t>z</w:t>
      </w:r>
      <w:r>
        <w:t>glas und befüllt dieses. Die Indikatorlösung färbt sich rot.</w:t>
      </w:r>
    </w:p>
    <w:p w:rsidR="00A24CE5" w:rsidRDefault="00A24CE5" w:rsidP="00A24CE5">
      <w:pPr>
        <w:tabs>
          <w:tab w:val="left" w:pos="1701"/>
          <w:tab w:val="left" w:pos="1985"/>
        </w:tabs>
        <w:ind w:left="1980" w:hanging="1980"/>
      </w:pPr>
      <w:r>
        <w:lastRenderedPageBreak/>
        <w:t>Deutung:</w:t>
      </w:r>
      <w:r>
        <w:tab/>
      </w:r>
      <w:r>
        <w:tab/>
        <w:t>Durch das Erhitzen der Salzsäure wird das Gas Chlorwasserstoff freig</w:t>
      </w:r>
      <w:r>
        <w:t>e</w:t>
      </w:r>
      <w:r>
        <w:t>setzt. Dieses löst sich sehr gut in Wasser (825 g in 1 L Wasser). Dadurch entsteht im Reagenzglas ein Unterdruck, welcher das Aufsteigen der Flü</w:t>
      </w:r>
      <w:r>
        <w:t>s</w:t>
      </w:r>
      <w:r>
        <w:t>sigkeit bewirkt. Die dabei frei werdenden Wasserstoffionen säuern das Wasser an, welches sich daraufhin rot färbt.</w:t>
      </w:r>
    </w:p>
    <w:p w:rsidR="00A24CE5" w:rsidRDefault="00A24CE5" w:rsidP="00A24CE5">
      <w:pPr>
        <w:keepNext/>
        <w:tabs>
          <w:tab w:val="left" w:pos="1701"/>
          <w:tab w:val="left" w:pos="1985"/>
        </w:tabs>
        <w:ind w:left="1980" w:hanging="1980"/>
      </w:pPr>
      <w:r>
        <w:rPr>
          <w:noProof/>
          <w:lang w:eastAsia="de-DE"/>
        </w:rPr>
        <w:drawing>
          <wp:inline distT="0" distB="0" distL="0" distR="0" wp14:anchorId="2CDE7FFF" wp14:editId="6EE12071">
            <wp:extent cx="5753735" cy="433070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735" cy="4330700"/>
                    </a:xfrm>
                    <a:prstGeom prst="rect">
                      <a:avLst/>
                    </a:prstGeom>
                    <a:noFill/>
                    <a:ln>
                      <a:noFill/>
                    </a:ln>
                  </pic:spPr>
                </pic:pic>
              </a:graphicData>
            </a:graphic>
          </wp:inline>
        </w:drawing>
      </w:r>
    </w:p>
    <w:p w:rsidR="00A24CE5" w:rsidRDefault="00A24CE5" w:rsidP="00A24CE5">
      <w:pPr>
        <w:pStyle w:val="Beschriftung"/>
      </w:pPr>
      <w:r>
        <w:t xml:space="preserve">Abbildung </w:t>
      </w:r>
      <w:r>
        <w:fldChar w:fldCharType="begin"/>
      </w:r>
      <w:r>
        <w:instrText xml:space="preserve"> SEQ Abbildung \* ARABIC </w:instrText>
      </w:r>
      <w:r>
        <w:fldChar w:fldCharType="separate"/>
      </w:r>
      <w:r>
        <w:rPr>
          <w:noProof/>
        </w:rPr>
        <w:t>1</w:t>
      </w:r>
      <w:r>
        <w:fldChar w:fldCharType="end"/>
      </w:r>
      <w:r>
        <w:t>: Durch den Unterdruck ins Reagenzglas gestiegenes, rot gefärbtes Wasser.</w:t>
      </w:r>
    </w:p>
    <w:p w:rsidR="00A24CE5" w:rsidRDefault="00A24CE5" w:rsidP="00A24CE5">
      <w:pPr>
        <w:tabs>
          <w:tab w:val="left" w:pos="1701"/>
          <w:tab w:val="left" w:pos="1985"/>
        </w:tabs>
        <w:ind w:left="1980" w:hanging="1980"/>
      </w:pPr>
      <w:r>
        <w:t>Entsorgung:</w:t>
      </w:r>
      <w:r>
        <w:tab/>
      </w:r>
      <w:r>
        <w:tab/>
        <w:t>Die Entsorgung der Lösungen erfolgt im Säure-Base-Behälter.</w:t>
      </w:r>
    </w:p>
    <w:p w:rsidR="00A24CE5" w:rsidRDefault="00A24CE5" w:rsidP="00A24CE5">
      <w:pPr>
        <w:tabs>
          <w:tab w:val="left" w:pos="1701"/>
          <w:tab w:val="left" w:pos="1985"/>
        </w:tabs>
        <w:ind w:left="1980" w:hanging="1980"/>
      </w:pPr>
      <w:r>
        <w:t>Literatur:</w:t>
      </w:r>
      <w:r>
        <w:tab/>
      </w:r>
      <w:r>
        <w:tab/>
        <w:t>H. Schmidkunz, Chemische Freihandversuche – Band 1, Aulis, 2011, S. 245.</w:t>
      </w:r>
      <w:r w:rsidRPr="00CD03BD">
        <w:br/>
      </w:r>
    </w:p>
    <w:p w:rsidR="00A24CE5" w:rsidRDefault="00A24CE5" w:rsidP="00A24CE5">
      <w:pPr>
        <w:tabs>
          <w:tab w:val="left" w:pos="1701"/>
          <w:tab w:val="left" w:pos="1985"/>
        </w:tabs>
        <w:ind w:left="1980" w:hanging="1980"/>
      </w:pPr>
      <w:r>
        <w:rPr>
          <w:noProof/>
          <w:lang w:eastAsia="de-DE"/>
        </w:rPr>
        <w:lastRenderedPageBreak/>
        <mc:AlternateContent>
          <mc:Choice Requires="wps">
            <w:drawing>
              <wp:inline distT="0" distB="0" distL="0" distR="0" wp14:anchorId="4DA681D7" wp14:editId="07CFF970">
                <wp:extent cx="5873115" cy="2271395"/>
                <wp:effectExtent l="0" t="0" r="13335" b="14605"/>
                <wp:docPr id="73" name="Textfeld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7139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4CE5" w:rsidRPr="00CD03BD" w:rsidRDefault="00A24CE5" w:rsidP="00A24CE5">
                            <w:pPr>
                              <w:rPr>
                                <w:color w:val="1F497D"/>
                              </w:rPr>
                            </w:pPr>
                            <w:r>
                              <w:rPr>
                                <w:color w:val="auto"/>
                              </w:rPr>
                              <w:t>Dieser Versuch zeigt, wie Chlorwasserstoff mit Wasser reagiert. Dadurch kann neben der Rea</w:t>
                            </w:r>
                            <w:r>
                              <w:rPr>
                                <w:color w:val="auto"/>
                              </w:rPr>
                              <w:t>k</w:t>
                            </w:r>
                            <w:r>
                              <w:rPr>
                                <w:color w:val="auto"/>
                              </w:rPr>
                              <w:t>tion einer Säure mit einem Nichtmetall noch auf die Löslichkeit von Stoffen eingegangen we</w:t>
                            </w:r>
                            <w:r>
                              <w:rPr>
                                <w:color w:val="auto"/>
                              </w:rPr>
                              <w:t>r</w:t>
                            </w:r>
                            <w:r>
                              <w:rPr>
                                <w:color w:val="auto"/>
                              </w:rPr>
                              <w:t xml:space="preserve">den. </w:t>
                            </w:r>
                            <w:r w:rsidRPr="00866929">
                              <w:rPr>
                                <w:color w:val="auto"/>
                              </w:rPr>
                              <w:t xml:space="preserve">Alternativ könnte </w:t>
                            </w:r>
                            <w:r>
                              <w:rPr>
                                <w:color w:val="auto"/>
                              </w:rPr>
                              <w:t>dieser</w:t>
                            </w:r>
                            <w:r w:rsidRPr="00866929">
                              <w:rPr>
                                <w:color w:val="auto"/>
                              </w:rPr>
                              <w:t xml:space="preserve"> Versuch </w:t>
                            </w:r>
                            <w:r>
                              <w:rPr>
                                <w:color w:val="auto"/>
                              </w:rPr>
                              <w:t>mit Ammoniakwasser statt mit Salzsäure erfolgen. In diesem Fall würde sich der entweichende Ammoniak im Wasser lösen und so das Aufsteigen der Lösung bewirken. Dieses Experiment könnte die Frage aufwerfen, ob das Wasser vielleicht durch die Erwärmung der Luft in das Reagenzglas gezogen wurde und nicht durch den Chlo</w:t>
                            </w:r>
                            <w:r>
                              <w:rPr>
                                <w:color w:val="auto"/>
                              </w:rPr>
                              <w:t>r</w:t>
                            </w:r>
                            <w:r>
                              <w:rPr>
                                <w:color w:val="auto"/>
                              </w:rPr>
                              <w:t>wasserstoff. Sollte diese Frage auftreten, so kann der Versuch mit Wasser / Wasserdampf durchgeführt werden, um diese Ursache auszuschließen. Der Chlorwasserstoff könnte auch mit pH-Papier nachgewiesen werden.</w:t>
                            </w:r>
                          </w:p>
                        </w:txbxContent>
                      </wps:txbx>
                      <wps:bodyPr rot="0" vert="horz" wrap="square" lIns="91440" tIns="45720" rIns="91440" bIns="45720" anchor="t" anchorCtr="0" upright="1">
                        <a:noAutofit/>
                      </wps:bodyPr>
                    </wps:wsp>
                  </a:graphicData>
                </a:graphic>
              </wp:inline>
            </w:drawing>
          </mc:Choice>
          <mc:Fallback>
            <w:pict>
              <v:shape id="Textfeld 73" o:spid="_x0000_s1027" type="#_x0000_t202" style="width:462.45pt;height:17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" strokecolor="#c0504d" strokeweight="1pt">
                <v:stroke dashstyle="dash"/>
                <v:shadow color="#868686"/>
                <v:textbox>
                  <w:txbxContent>
                    <w:p w:rsidR="00A24CE5" w:rsidRPr="00CD03BD" w:rsidRDefault="00A24CE5" w:rsidP="00A24CE5">
                      <w:pPr>
                        <w:rPr>
                          <w:color w:val="1F497D"/>
                        </w:rPr>
                      </w:pPr>
                      <w:r>
                        <w:rPr>
                          <w:color w:val="auto"/>
                        </w:rPr>
                        <w:t>Dieser Versuch zeigt, wie Chlorwasserstoff mit Wasser reagiert. Dadurch kann neben der Rea</w:t>
                      </w:r>
                      <w:r>
                        <w:rPr>
                          <w:color w:val="auto"/>
                        </w:rPr>
                        <w:t>k</w:t>
                      </w:r>
                      <w:r>
                        <w:rPr>
                          <w:color w:val="auto"/>
                        </w:rPr>
                        <w:t>tion einer Säure mit einem Nichtmetall noch auf die Löslichkeit von Stoffen eingegangen we</w:t>
                      </w:r>
                      <w:r>
                        <w:rPr>
                          <w:color w:val="auto"/>
                        </w:rPr>
                        <w:t>r</w:t>
                      </w:r>
                      <w:r>
                        <w:rPr>
                          <w:color w:val="auto"/>
                        </w:rPr>
                        <w:t xml:space="preserve">den. </w:t>
                      </w:r>
                      <w:r w:rsidRPr="00866929">
                        <w:rPr>
                          <w:color w:val="auto"/>
                        </w:rPr>
                        <w:t xml:space="preserve">Alternativ könnte </w:t>
                      </w:r>
                      <w:r>
                        <w:rPr>
                          <w:color w:val="auto"/>
                        </w:rPr>
                        <w:t>dieser</w:t>
                      </w:r>
                      <w:r w:rsidRPr="00866929">
                        <w:rPr>
                          <w:color w:val="auto"/>
                        </w:rPr>
                        <w:t xml:space="preserve"> Versuch </w:t>
                      </w:r>
                      <w:r>
                        <w:rPr>
                          <w:color w:val="auto"/>
                        </w:rPr>
                        <w:t>mit Ammoniakwasser statt mit Salzsäure erfolgen. In diesem Fall würde sich der entweichende Ammoniak im Wasser lösen und so das Aufsteigen der Lösung bewirken. Dieses Experiment könnte die Frage aufwerfen, ob das Wasser vielleicht durch die Erwärmung der Luft in das Reagenzglas gezogen wurde und nicht durch den Chlo</w:t>
                      </w:r>
                      <w:r>
                        <w:rPr>
                          <w:color w:val="auto"/>
                        </w:rPr>
                        <w:t>r</w:t>
                      </w:r>
                      <w:r>
                        <w:rPr>
                          <w:color w:val="auto"/>
                        </w:rPr>
                        <w:t>wasserstoff. Sollte diese Frage auftreten, so kann der Versuch mit Wasser / Wasserdampf durchgeführt werden, um diese Ursache auszuschließen. Der Chlorwasserstoff könnte auch mit pH-Papier nachgewiesen werden.</w:t>
                      </w:r>
                    </w:p>
                  </w:txbxContent>
                </v:textbox>
                <w10:anchorlock/>
              </v:shape>
            </w:pict>
          </mc:Fallback>
        </mc:AlternateContent>
      </w:r>
    </w:p>
    <w:p w:rsidR="00BE6DD9" w:rsidRPr="001B1A06" w:rsidRDefault="00BE6DD9" w:rsidP="001B1A06"/>
    <w:sectPr w:rsidR="00BE6DD9" w:rsidRPr="001B1A06"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A6B" w:rsidRDefault="00333A6B" w:rsidP="009524CC">
      <w:pPr>
        <w:spacing w:after="0"/>
      </w:pPr>
      <w:r>
        <w:separator/>
      </w:r>
    </w:p>
  </w:endnote>
  <w:endnote w:type="continuationSeparator" w:id="0">
    <w:p w:rsidR="00333A6B" w:rsidRDefault="00333A6B"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A6B" w:rsidRDefault="00333A6B" w:rsidP="009524CC">
      <w:pPr>
        <w:spacing w:after="0"/>
      </w:pPr>
      <w:r>
        <w:separator/>
      </w:r>
    </w:p>
  </w:footnote>
  <w:footnote w:type="continuationSeparator" w:id="0">
    <w:p w:rsidR="00333A6B" w:rsidRDefault="00333A6B"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A24CE5" w:rsidRPr="00A24CE5">
            <w:rPr>
              <w:b/>
              <w:bCs/>
              <w:noProof/>
              <w:sz w:val="20"/>
              <w:szCs w:val="20"/>
            </w:rPr>
            <w:t>V 1 – Das durstige Gas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A24CE5">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4CE5"/>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585E-0FCB-4835-8B56-7E10BCBE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2013-08-14T18:48:00Z</dcterms:created>
  <dcterms:modified xsi:type="dcterms:W3CDTF">2013-08-14T18:48:00Z</dcterms:modified>
</cp:coreProperties>
</file>