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0B" w:rsidRPr="006C34A1" w:rsidRDefault="00AD490B" w:rsidP="00AD490B">
      <w:pPr>
        <w:pStyle w:val="berschrift1"/>
        <w:numPr>
          <w:ilvl w:val="0"/>
          <w:numId w:val="0"/>
        </w:numPr>
        <w:ind w:left="431" w:hanging="431"/>
      </w:pPr>
      <w:bookmarkStart w:id="0" w:name="_Toc364276457"/>
      <w:r>
        <w:rPr>
          <w:noProof/>
          <w:color w:val="1F497D"/>
          <w:lang w:eastAsia="de-DE"/>
        </w:rPr>
        <mc:AlternateContent>
          <mc:Choice Requires="wps">
            <w:drawing>
              <wp:anchor distT="0" distB="0" distL="114300" distR="114300" simplePos="0" relativeHeight="251659264" behindDoc="0" locked="0" layoutInCell="1" allowOverlap="1" wp14:anchorId="73948F5C" wp14:editId="254CB057">
                <wp:simplePos x="0" y="0"/>
                <wp:positionH relativeFrom="column">
                  <wp:posOffset>3810</wp:posOffset>
                </wp:positionH>
                <wp:positionV relativeFrom="paragraph">
                  <wp:posOffset>584200</wp:posOffset>
                </wp:positionV>
                <wp:extent cx="5873115" cy="1518285"/>
                <wp:effectExtent l="0" t="0" r="13335" b="24765"/>
                <wp:wrapSquare wrapText="bothSides"/>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1828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90B" w:rsidRPr="00CD03BD" w:rsidRDefault="00AD490B" w:rsidP="00AD490B">
                            <w:pPr>
                              <w:rPr>
                                <w:color w:val="1F497D"/>
                              </w:rPr>
                            </w:pPr>
                            <w:r>
                              <w:rPr>
                                <w:color w:val="auto"/>
                              </w:rPr>
                              <w:t>In diesem Versuch lernen die SuS, wie Salzsäure auf verschiedene Metalle reagiert. Während edle Metalle wie z. B. Kupfer nicht mit Salzsäure reagieren, reagieren unedle Metalle wie Zink unter Wasserstoffbildung zu dem entsprechenden Salz. Für den Versuch müssen die SuS den Säurebegriff nach Arrhenius, sowie die Bedeutung von Indikatoren kennen. Sie müssen edle und unedle Metalle unterscheiden können. Außerdem sollte ihnen die Knallgasprobe bekannt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6" o:spid="_x0000_s1026" type="#_x0000_t202" style="position:absolute;left:0;text-align:left;margin-left:.3pt;margin-top:46pt;width:462.45pt;height:1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" strokecolor="#4bacc6" strokeweight="1pt">
                <v:stroke dashstyle="dash"/>
                <v:shadow color="#868686"/>
                <v:textbox>
                  <w:txbxContent>
                    <w:p w:rsidR="00AD490B" w:rsidRPr="00CD03BD" w:rsidRDefault="00AD490B" w:rsidP="00AD490B">
                      <w:pPr>
                        <w:rPr>
                          <w:color w:val="1F497D"/>
                        </w:rPr>
                      </w:pPr>
                      <w:r>
                        <w:rPr>
                          <w:color w:val="auto"/>
                        </w:rPr>
                        <w:t>In diesem Versuch lernen die SuS, wie Salzsäure auf verschiedene Metalle reagiert. Während edle Metalle wie z. B. Kupfer nicht mit Salzsäure reagieren, reagieren unedle Metalle wie Zink unter Wasserstoffbildung zu dem entsprechenden Salz. Für den Versuch müssen die SuS den Säurebegriff nach Arrhenius, sowie die Bedeutung von Indikatoren kennen. Sie müssen edle und unedle Metalle unterscheiden können. Außerdem sollte ihnen die Knallgasprobe bekannt sein.</w:t>
                      </w:r>
                    </w:p>
                  </w:txbxContent>
                </v:textbox>
                <w10:wrap type="square"/>
              </v:shape>
            </w:pict>
          </mc:Fallback>
        </mc:AlternateContent>
      </w:r>
      <w:bookmarkStart w:id="1" w:name="_GoBack"/>
      <w:bookmarkEnd w:id="1"/>
      <w:r>
        <w:t>V 5 – Reaktionen von sauren Lösungen mit Metallen</w:t>
      </w:r>
      <w:bookmarkEnd w:id="0"/>
    </w:p>
    <w:p w:rsidR="00AD490B" w:rsidRPr="00CD03BD" w:rsidRDefault="00AD490B" w:rsidP="00AD490B">
      <w:pPr>
        <w:tabs>
          <w:tab w:val="left" w:pos="1701"/>
          <w:tab w:val="left" w:pos="1985"/>
        </w:tabs>
        <w:ind w:left="1980" w:hanging="1980"/>
        <w:rPr>
          <w:color w:val="1F497D"/>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D490B" w:rsidRPr="00CD03BD" w:rsidTr="00EC1445">
        <w:tc>
          <w:tcPr>
            <w:tcW w:w="9322" w:type="dxa"/>
            <w:gridSpan w:val="9"/>
            <w:tcBorders>
              <w:bottom w:val="single" w:sz="8" w:space="0" w:color="4F81BD"/>
            </w:tcBorders>
            <w:shd w:val="clear" w:color="auto" w:fill="4F81BD"/>
            <w:vAlign w:val="center"/>
          </w:tcPr>
          <w:p w:rsidR="00AD490B" w:rsidRPr="00CD03BD" w:rsidRDefault="00AD490B" w:rsidP="00EC1445">
            <w:pPr>
              <w:spacing w:after="0"/>
              <w:jc w:val="center"/>
              <w:rPr>
                <w:b/>
                <w:bCs/>
              </w:rPr>
            </w:pPr>
            <w:r w:rsidRPr="00CD03BD">
              <w:rPr>
                <w:b/>
                <w:bCs/>
              </w:rPr>
              <w:t>Gefahrenstoffe</w:t>
            </w:r>
          </w:p>
        </w:tc>
      </w:tr>
      <w:tr w:rsidR="00AD490B"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490B" w:rsidRPr="006C34A1" w:rsidRDefault="00AD490B" w:rsidP="00EC1445">
            <w:pPr>
              <w:jc w:val="center"/>
              <w:rPr>
                <w:bCs/>
                <w:sz w:val="20"/>
                <w:szCs w:val="20"/>
              </w:rPr>
            </w:pPr>
            <w:r>
              <w:rPr>
                <w:bCs/>
                <w:sz w:val="20"/>
                <w:szCs w:val="20"/>
              </w:rPr>
              <w:t>Verdünnte Salzsäure</w:t>
            </w:r>
          </w:p>
        </w:tc>
        <w:tc>
          <w:tcPr>
            <w:tcW w:w="3177" w:type="dxa"/>
            <w:gridSpan w:val="3"/>
            <w:tcBorders>
              <w:top w:val="single" w:sz="8" w:space="0" w:color="4F81BD"/>
              <w:bottom w:val="single" w:sz="8" w:space="0" w:color="4F81BD"/>
            </w:tcBorders>
            <w:shd w:val="clear" w:color="auto" w:fill="auto"/>
            <w:vAlign w:val="center"/>
          </w:tcPr>
          <w:p w:rsidR="00AD490B" w:rsidRPr="006C34A1" w:rsidRDefault="00AD490B" w:rsidP="00EC1445">
            <w:pPr>
              <w:jc w:val="center"/>
              <w:rPr>
                <w:sz w:val="20"/>
                <w:szCs w:val="20"/>
              </w:rPr>
            </w:pPr>
            <w:r>
              <w:rPr>
                <w:sz w:val="20"/>
                <w:szCs w:val="20"/>
              </w:rP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490B" w:rsidRPr="006C34A1" w:rsidRDefault="00AD490B" w:rsidP="00EC1445">
            <w:pPr>
              <w:jc w:val="center"/>
              <w:rPr>
                <w:sz w:val="20"/>
                <w:szCs w:val="20"/>
              </w:rPr>
            </w:pPr>
            <w:r>
              <w:rPr>
                <w:sz w:val="20"/>
                <w:szCs w:val="20"/>
              </w:rPr>
              <w:t>P: 234-260-304+340-303+361+353+305+351+338-309+311-501</w:t>
            </w:r>
          </w:p>
        </w:tc>
      </w:tr>
      <w:tr w:rsidR="00AD490B" w:rsidRPr="00CD03BD" w:rsidTr="00EC1445">
        <w:trPr>
          <w:trHeight w:val="434"/>
        </w:trPr>
        <w:tc>
          <w:tcPr>
            <w:tcW w:w="3027" w:type="dxa"/>
            <w:gridSpan w:val="3"/>
            <w:tcBorders>
              <w:top w:val="single" w:sz="8" w:space="0" w:color="4F81BD"/>
              <w:bottom w:val="single" w:sz="6" w:space="0" w:color="4F81BD"/>
              <w:right w:val="nil"/>
            </w:tcBorders>
            <w:shd w:val="clear" w:color="auto" w:fill="auto"/>
            <w:vAlign w:val="center"/>
          </w:tcPr>
          <w:p w:rsidR="00AD490B" w:rsidRPr="006C34A1" w:rsidRDefault="00AD490B" w:rsidP="00EC1445">
            <w:pPr>
              <w:jc w:val="center"/>
              <w:rPr>
                <w:bCs/>
                <w:sz w:val="20"/>
                <w:szCs w:val="20"/>
              </w:rPr>
            </w:pPr>
            <w:r>
              <w:rPr>
                <w:bCs/>
                <w:sz w:val="20"/>
                <w:szCs w:val="20"/>
              </w:rPr>
              <w:t>Magnesium</w:t>
            </w:r>
          </w:p>
        </w:tc>
        <w:tc>
          <w:tcPr>
            <w:tcW w:w="3177" w:type="dxa"/>
            <w:gridSpan w:val="3"/>
            <w:tcBorders>
              <w:top w:val="single" w:sz="8" w:space="0" w:color="4F81BD"/>
              <w:left w:val="nil"/>
              <w:bottom w:val="single" w:sz="6" w:space="0" w:color="4F81BD"/>
              <w:right w:val="nil"/>
            </w:tcBorders>
            <w:shd w:val="clear" w:color="auto" w:fill="auto"/>
            <w:vAlign w:val="center"/>
          </w:tcPr>
          <w:p w:rsidR="00AD490B" w:rsidRPr="006C34A1" w:rsidRDefault="00AD490B" w:rsidP="00EC1445">
            <w:pPr>
              <w:jc w:val="center"/>
              <w:rPr>
                <w:sz w:val="20"/>
                <w:szCs w:val="20"/>
              </w:rPr>
            </w:pPr>
            <w:r w:rsidRPr="006C34A1">
              <w:rPr>
                <w:sz w:val="20"/>
                <w:szCs w:val="20"/>
              </w:rPr>
              <w:t xml:space="preserve">H: </w:t>
            </w:r>
            <w:r>
              <w:rPr>
                <w:sz w:val="20"/>
                <w:szCs w:val="20"/>
              </w:rPr>
              <w:t>250-260</w:t>
            </w:r>
          </w:p>
        </w:tc>
        <w:tc>
          <w:tcPr>
            <w:tcW w:w="3118" w:type="dxa"/>
            <w:gridSpan w:val="3"/>
            <w:tcBorders>
              <w:top w:val="single" w:sz="8" w:space="0" w:color="4F81BD"/>
              <w:left w:val="nil"/>
              <w:bottom w:val="single" w:sz="6" w:space="0" w:color="4F81BD"/>
            </w:tcBorders>
            <w:shd w:val="clear" w:color="auto" w:fill="auto"/>
            <w:vAlign w:val="center"/>
          </w:tcPr>
          <w:p w:rsidR="00AD490B" w:rsidRPr="006C34A1" w:rsidRDefault="00AD490B" w:rsidP="00EC1445">
            <w:pPr>
              <w:jc w:val="center"/>
              <w:rPr>
                <w:sz w:val="20"/>
                <w:szCs w:val="20"/>
              </w:rPr>
            </w:pPr>
            <w:r w:rsidRPr="006C34A1">
              <w:rPr>
                <w:sz w:val="20"/>
                <w:szCs w:val="20"/>
              </w:rPr>
              <w:t xml:space="preserve">P: </w:t>
            </w:r>
            <w:r>
              <w:rPr>
                <w:sz w:val="20"/>
                <w:szCs w:val="20"/>
              </w:rPr>
              <w:t>222-223-231+232-370+378-422</w:t>
            </w:r>
          </w:p>
        </w:tc>
      </w:tr>
      <w:tr w:rsidR="00AD490B" w:rsidRPr="00CD03BD" w:rsidTr="00EC1445">
        <w:trPr>
          <w:trHeight w:val="434"/>
        </w:trPr>
        <w:tc>
          <w:tcPr>
            <w:tcW w:w="3027" w:type="dxa"/>
            <w:gridSpan w:val="3"/>
            <w:tcBorders>
              <w:top w:val="single" w:sz="6" w:space="0" w:color="4F81BD"/>
              <w:bottom w:val="single" w:sz="6" w:space="0" w:color="4F81BD"/>
              <w:right w:val="nil"/>
            </w:tcBorders>
            <w:shd w:val="clear" w:color="auto" w:fill="auto"/>
            <w:vAlign w:val="center"/>
          </w:tcPr>
          <w:p w:rsidR="00AD490B" w:rsidRDefault="00AD490B" w:rsidP="00EC1445">
            <w:pPr>
              <w:jc w:val="center"/>
              <w:rPr>
                <w:bCs/>
                <w:sz w:val="20"/>
                <w:szCs w:val="20"/>
              </w:rPr>
            </w:pPr>
            <w:r>
              <w:rPr>
                <w:bCs/>
                <w:sz w:val="20"/>
                <w:szCs w:val="20"/>
              </w:rPr>
              <w:t>Zink</w:t>
            </w:r>
          </w:p>
        </w:tc>
        <w:tc>
          <w:tcPr>
            <w:tcW w:w="3177" w:type="dxa"/>
            <w:gridSpan w:val="3"/>
            <w:tcBorders>
              <w:top w:val="single" w:sz="6" w:space="0" w:color="4F81BD"/>
              <w:left w:val="nil"/>
              <w:bottom w:val="single" w:sz="6" w:space="0" w:color="4F81BD"/>
              <w:right w:val="nil"/>
            </w:tcBorders>
            <w:shd w:val="clear" w:color="auto" w:fill="auto"/>
            <w:vAlign w:val="center"/>
          </w:tcPr>
          <w:p w:rsidR="00AD490B" w:rsidRPr="006C34A1" w:rsidRDefault="00AD490B" w:rsidP="00EC1445">
            <w:pPr>
              <w:jc w:val="center"/>
              <w:rPr>
                <w:sz w:val="20"/>
                <w:szCs w:val="20"/>
              </w:rPr>
            </w:pPr>
            <w:r>
              <w:rPr>
                <w:sz w:val="20"/>
                <w:szCs w:val="20"/>
              </w:rPr>
              <w:t>H: 260-250-410</w:t>
            </w:r>
          </w:p>
        </w:tc>
        <w:tc>
          <w:tcPr>
            <w:tcW w:w="3118" w:type="dxa"/>
            <w:gridSpan w:val="3"/>
            <w:tcBorders>
              <w:top w:val="single" w:sz="6" w:space="0" w:color="4F81BD"/>
              <w:left w:val="nil"/>
              <w:bottom w:val="single" w:sz="6" w:space="0" w:color="4F81BD"/>
            </w:tcBorders>
            <w:shd w:val="clear" w:color="auto" w:fill="auto"/>
            <w:vAlign w:val="center"/>
          </w:tcPr>
          <w:p w:rsidR="00AD490B" w:rsidRPr="006C34A1" w:rsidRDefault="00AD490B" w:rsidP="00EC1445">
            <w:pPr>
              <w:jc w:val="center"/>
              <w:rPr>
                <w:sz w:val="20"/>
                <w:szCs w:val="20"/>
              </w:rPr>
            </w:pPr>
            <w:r>
              <w:rPr>
                <w:sz w:val="20"/>
                <w:szCs w:val="20"/>
              </w:rPr>
              <w:t>P: 222-223-231+232-273-370+378-422</w:t>
            </w:r>
          </w:p>
        </w:tc>
      </w:tr>
      <w:tr w:rsidR="00AD490B" w:rsidRPr="00CD03BD" w:rsidTr="00EC1445">
        <w:trPr>
          <w:trHeight w:val="434"/>
        </w:trPr>
        <w:tc>
          <w:tcPr>
            <w:tcW w:w="3027" w:type="dxa"/>
            <w:gridSpan w:val="3"/>
            <w:tcBorders>
              <w:top w:val="single" w:sz="6" w:space="0" w:color="4F81BD"/>
              <w:bottom w:val="single" w:sz="6" w:space="0" w:color="4F81BD"/>
              <w:right w:val="nil"/>
            </w:tcBorders>
            <w:shd w:val="clear" w:color="auto" w:fill="auto"/>
            <w:vAlign w:val="center"/>
          </w:tcPr>
          <w:p w:rsidR="00AD490B" w:rsidRDefault="00AD490B" w:rsidP="00EC1445">
            <w:pPr>
              <w:jc w:val="center"/>
              <w:rPr>
                <w:bCs/>
                <w:sz w:val="20"/>
                <w:szCs w:val="20"/>
              </w:rPr>
            </w:pPr>
            <w:r>
              <w:rPr>
                <w:bCs/>
                <w:sz w:val="20"/>
                <w:szCs w:val="20"/>
              </w:rPr>
              <w:t>Eisen</w:t>
            </w:r>
          </w:p>
        </w:tc>
        <w:tc>
          <w:tcPr>
            <w:tcW w:w="3177" w:type="dxa"/>
            <w:gridSpan w:val="3"/>
            <w:tcBorders>
              <w:top w:val="single" w:sz="6" w:space="0" w:color="4F81BD"/>
              <w:left w:val="nil"/>
              <w:bottom w:val="single" w:sz="6" w:space="0" w:color="4F81BD"/>
              <w:right w:val="nil"/>
            </w:tcBorders>
            <w:shd w:val="clear" w:color="auto" w:fill="auto"/>
            <w:vAlign w:val="center"/>
          </w:tcPr>
          <w:p w:rsidR="00AD490B" w:rsidRDefault="00AD490B" w:rsidP="00EC1445">
            <w:pPr>
              <w:jc w:val="center"/>
              <w:rPr>
                <w:sz w:val="20"/>
                <w:szCs w:val="20"/>
              </w:rPr>
            </w:pPr>
            <w:r>
              <w:rPr>
                <w:sz w:val="20"/>
                <w:szCs w:val="20"/>
              </w:rPr>
              <w:t>H: -</w:t>
            </w:r>
          </w:p>
        </w:tc>
        <w:tc>
          <w:tcPr>
            <w:tcW w:w="3118" w:type="dxa"/>
            <w:gridSpan w:val="3"/>
            <w:tcBorders>
              <w:top w:val="single" w:sz="6" w:space="0" w:color="4F81BD"/>
              <w:left w:val="nil"/>
              <w:bottom w:val="single" w:sz="6" w:space="0" w:color="4F81BD"/>
            </w:tcBorders>
            <w:shd w:val="clear" w:color="auto" w:fill="auto"/>
            <w:vAlign w:val="center"/>
          </w:tcPr>
          <w:p w:rsidR="00AD490B" w:rsidRDefault="00AD490B" w:rsidP="00EC1445">
            <w:pPr>
              <w:jc w:val="center"/>
              <w:rPr>
                <w:sz w:val="20"/>
                <w:szCs w:val="20"/>
              </w:rPr>
            </w:pPr>
            <w:r>
              <w:rPr>
                <w:sz w:val="20"/>
                <w:szCs w:val="20"/>
              </w:rPr>
              <w:t>P: -</w:t>
            </w:r>
          </w:p>
        </w:tc>
      </w:tr>
      <w:tr w:rsidR="00AD490B" w:rsidRPr="00CD03BD" w:rsidTr="00EC1445">
        <w:trPr>
          <w:trHeight w:val="434"/>
        </w:trPr>
        <w:tc>
          <w:tcPr>
            <w:tcW w:w="3027" w:type="dxa"/>
            <w:gridSpan w:val="3"/>
            <w:tcBorders>
              <w:top w:val="single" w:sz="6" w:space="0" w:color="4F81BD"/>
              <w:bottom w:val="single" w:sz="8" w:space="0" w:color="4F81BD"/>
              <w:right w:val="nil"/>
            </w:tcBorders>
            <w:shd w:val="clear" w:color="auto" w:fill="auto"/>
            <w:vAlign w:val="center"/>
          </w:tcPr>
          <w:p w:rsidR="00AD490B" w:rsidRDefault="00AD490B" w:rsidP="00EC1445">
            <w:pPr>
              <w:jc w:val="center"/>
              <w:rPr>
                <w:bCs/>
                <w:sz w:val="20"/>
                <w:szCs w:val="20"/>
              </w:rPr>
            </w:pPr>
            <w:r>
              <w:rPr>
                <w:bCs/>
                <w:sz w:val="20"/>
                <w:szCs w:val="20"/>
              </w:rPr>
              <w:t>Kupfer</w:t>
            </w:r>
          </w:p>
        </w:tc>
        <w:tc>
          <w:tcPr>
            <w:tcW w:w="3177" w:type="dxa"/>
            <w:gridSpan w:val="3"/>
            <w:tcBorders>
              <w:top w:val="single" w:sz="6" w:space="0" w:color="4F81BD"/>
              <w:left w:val="nil"/>
              <w:bottom w:val="single" w:sz="8" w:space="0" w:color="4F81BD"/>
              <w:right w:val="nil"/>
            </w:tcBorders>
            <w:shd w:val="clear" w:color="auto" w:fill="auto"/>
            <w:vAlign w:val="center"/>
          </w:tcPr>
          <w:p w:rsidR="00AD490B" w:rsidRDefault="00AD490B" w:rsidP="00EC1445">
            <w:pPr>
              <w:jc w:val="center"/>
              <w:rPr>
                <w:sz w:val="20"/>
                <w:szCs w:val="20"/>
              </w:rPr>
            </w:pPr>
            <w:r>
              <w:rPr>
                <w:sz w:val="20"/>
                <w:szCs w:val="20"/>
              </w:rPr>
              <w:t>H: -</w:t>
            </w:r>
          </w:p>
        </w:tc>
        <w:tc>
          <w:tcPr>
            <w:tcW w:w="3118" w:type="dxa"/>
            <w:gridSpan w:val="3"/>
            <w:tcBorders>
              <w:top w:val="single" w:sz="6" w:space="0" w:color="4F81BD"/>
              <w:left w:val="nil"/>
              <w:bottom w:val="single" w:sz="8" w:space="0" w:color="4F81BD"/>
            </w:tcBorders>
            <w:shd w:val="clear" w:color="auto" w:fill="auto"/>
            <w:vAlign w:val="center"/>
          </w:tcPr>
          <w:p w:rsidR="00AD490B" w:rsidRDefault="00AD490B" w:rsidP="00EC1445">
            <w:pPr>
              <w:jc w:val="center"/>
              <w:rPr>
                <w:sz w:val="20"/>
                <w:szCs w:val="20"/>
              </w:rPr>
            </w:pPr>
            <w:r>
              <w:rPr>
                <w:sz w:val="20"/>
                <w:szCs w:val="20"/>
              </w:rPr>
              <w:t>P: -</w:t>
            </w:r>
          </w:p>
        </w:tc>
      </w:tr>
      <w:tr w:rsidR="00AD490B" w:rsidRPr="00CD03BD" w:rsidTr="00EC1445">
        <w:tc>
          <w:tcPr>
            <w:tcW w:w="1009" w:type="dxa"/>
            <w:tcBorders>
              <w:top w:val="single" w:sz="8" w:space="0" w:color="4F81BD"/>
              <w:left w:val="single" w:sz="8" w:space="0" w:color="4F81BD"/>
              <w:bottom w:val="single" w:sz="8" w:space="0" w:color="4F81BD"/>
            </w:tcBorders>
            <w:shd w:val="clear" w:color="auto" w:fill="auto"/>
            <w:vAlign w:val="center"/>
          </w:tcPr>
          <w:p w:rsidR="00AD490B" w:rsidRPr="00CD03BD" w:rsidRDefault="00AD490B" w:rsidP="00EC1445">
            <w:pPr>
              <w:spacing w:after="0"/>
              <w:jc w:val="center"/>
              <w:rPr>
                <w:b/>
                <w:bCs/>
              </w:rPr>
            </w:pPr>
            <w:r>
              <w:rPr>
                <w:b/>
                <w:bCs/>
                <w:noProof/>
                <w:lang w:eastAsia="de-DE"/>
              </w:rPr>
              <w:drawing>
                <wp:inline distT="0" distB="0" distL="0" distR="0" wp14:anchorId="4F573750" wp14:editId="5FF1E083">
                  <wp:extent cx="517525" cy="517525"/>
                  <wp:effectExtent l="0" t="0" r="0" b="0"/>
                  <wp:docPr id="21" name="Grafik 2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5D3EE35F" wp14:editId="50A58EEC">
                  <wp:extent cx="500380" cy="50038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7A68E4A6" wp14:editId="2518AA3E">
                  <wp:extent cx="500380" cy="500380"/>
                  <wp:effectExtent l="0" t="0" r="0" b="0"/>
                  <wp:docPr id="19" name="Grafik 19"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renn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3E47E29E" wp14:editId="66CD95EC">
                  <wp:extent cx="500380" cy="50038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77FD665B" wp14:editId="4F4CB947">
                  <wp:extent cx="500380" cy="50038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4D6CBB2C" wp14:editId="5F5573C7">
                  <wp:extent cx="500380" cy="50038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6C478F9A" wp14:editId="105CFFE2">
                  <wp:extent cx="500380" cy="50038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5AD13B05" wp14:editId="27D21851">
                  <wp:extent cx="517525" cy="517525"/>
                  <wp:effectExtent l="0" t="0" r="0" b="0"/>
                  <wp:docPr id="14" name="Grafik 1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490B" w:rsidRPr="00CD03BD" w:rsidRDefault="00AD490B" w:rsidP="00EC1445">
            <w:pPr>
              <w:spacing w:after="0"/>
              <w:jc w:val="center"/>
            </w:pPr>
            <w:r>
              <w:rPr>
                <w:noProof/>
                <w:lang w:eastAsia="de-DE"/>
              </w:rPr>
              <w:drawing>
                <wp:inline distT="0" distB="0" distL="0" distR="0" wp14:anchorId="41FBABAD" wp14:editId="6EF5D3ED">
                  <wp:extent cx="543560" cy="543560"/>
                  <wp:effectExtent l="0" t="0" r="8890" b="8890"/>
                  <wp:docPr id="13" name="Grafik 1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mweltgefah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r>
    </w:tbl>
    <w:p w:rsidR="00AD490B" w:rsidRDefault="00AD490B" w:rsidP="00AD490B">
      <w:pPr>
        <w:tabs>
          <w:tab w:val="left" w:pos="1701"/>
          <w:tab w:val="left" w:pos="1985"/>
        </w:tabs>
        <w:ind w:left="1980" w:hanging="1980"/>
        <w:rPr>
          <w:color w:val="auto"/>
        </w:rPr>
      </w:pPr>
    </w:p>
    <w:p w:rsidR="00AD490B" w:rsidRDefault="00AD490B" w:rsidP="00AD490B">
      <w:pPr>
        <w:tabs>
          <w:tab w:val="left" w:pos="1701"/>
          <w:tab w:val="left" w:pos="1985"/>
        </w:tabs>
        <w:ind w:left="1980" w:hanging="1980"/>
        <w:rPr>
          <w:color w:val="auto"/>
        </w:rPr>
      </w:pPr>
      <w:r w:rsidRPr="006C34A1">
        <w:rPr>
          <w:color w:val="auto"/>
        </w:rPr>
        <w:t>Materialien</w:t>
      </w:r>
      <w:r>
        <w:rPr>
          <w:color w:val="auto"/>
        </w:rPr>
        <w:t>:</w:t>
      </w:r>
      <w:r>
        <w:rPr>
          <w:color w:val="auto"/>
        </w:rPr>
        <w:tab/>
      </w:r>
      <w:r w:rsidRPr="006C673A">
        <w:rPr>
          <w:color w:val="FF0000"/>
        </w:rPr>
        <w:tab/>
      </w:r>
      <w:r>
        <w:rPr>
          <w:color w:val="auto"/>
        </w:rPr>
        <w:t>Fünf Reagenzgläser, Reagenzglasständer, Spatel</w:t>
      </w:r>
    </w:p>
    <w:p w:rsidR="00AD490B" w:rsidRDefault="00AD490B" w:rsidP="00AD490B">
      <w:pPr>
        <w:tabs>
          <w:tab w:val="left" w:pos="1701"/>
          <w:tab w:val="left" w:pos="1985"/>
        </w:tabs>
        <w:ind w:left="1980" w:hanging="1980"/>
        <w:rPr>
          <w:color w:val="auto"/>
        </w:rPr>
      </w:pPr>
      <w:r>
        <w:rPr>
          <w:color w:val="auto"/>
        </w:rPr>
        <w:t>Chemikalien:</w:t>
      </w:r>
      <w:r>
        <w:rPr>
          <w:color w:val="auto"/>
        </w:rPr>
        <w:tab/>
      </w:r>
      <w:r>
        <w:rPr>
          <w:color w:val="auto"/>
        </w:rPr>
        <w:tab/>
        <w:t>Verdünnte Salzsäure, Magnesium, Zink, Eisen, Kupfer</w:t>
      </w:r>
    </w:p>
    <w:p w:rsidR="00AD490B" w:rsidRDefault="00AD490B" w:rsidP="00AD490B">
      <w:pPr>
        <w:tabs>
          <w:tab w:val="left" w:pos="1701"/>
          <w:tab w:val="left" w:pos="1985"/>
        </w:tabs>
        <w:ind w:left="1980" w:hanging="1980"/>
        <w:rPr>
          <w:color w:val="auto"/>
        </w:rPr>
      </w:pPr>
      <w:r>
        <w:rPr>
          <w:color w:val="auto"/>
        </w:rPr>
        <w:t>Durchführung:</w:t>
      </w:r>
      <w:r>
        <w:rPr>
          <w:color w:val="auto"/>
        </w:rPr>
        <w:tab/>
      </w:r>
      <w:r>
        <w:rPr>
          <w:color w:val="auto"/>
        </w:rPr>
        <w:tab/>
        <w:t>Von den vier Metallen wird in die vier Reagenzgläser jeweils eine Spate</w:t>
      </w:r>
      <w:r>
        <w:rPr>
          <w:color w:val="auto"/>
        </w:rPr>
        <w:t>l</w:t>
      </w:r>
      <w:r>
        <w:rPr>
          <w:color w:val="auto"/>
        </w:rPr>
        <w:t>spitze gegeben. Anschließend werden ca. 5 mL verd. Salzsäure auf jede Probe gegeben. Mögliche Gasentwicklung und Wärmebildung sind zu b</w:t>
      </w:r>
      <w:r>
        <w:rPr>
          <w:color w:val="auto"/>
        </w:rPr>
        <w:t>e</w:t>
      </w:r>
      <w:r>
        <w:rPr>
          <w:color w:val="auto"/>
        </w:rPr>
        <w:t>obachten. Das sich entwickelnde Gas wird in dem fünften Glas aufgefangen und eine Knallgasprobe durchgeführt.</w:t>
      </w:r>
    </w:p>
    <w:p w:rsidR="00AD490B" w:rsidRPr="006C673A" w:rsidRDefault="00AD490B" w:rsidP="00AD490B">
      <w:pPr>
        <w:tabs>
          <w:tab w:val="left" w:pos="1701"/>
          <w:tab w:val="left" w:pos="1985"/>
        </w:tabs>
        <w:ind w:left="1980" w:hanging="1980"/>
        <w:rPr>
          <w:color w:val="FF0000"/>
        </w:rPr>
      </w:pPr>
      <w:r>
        <w:rPr>
          <w:color w:val="auto"/>
        </w:rPr>
        <w:lastRenderedPageBreak/>
        <w:t>Beobachtung:</w:t>
      </w:r>
      <w:r>
        <w:rPr>
          <w:color w:val="auto"/>
        </w:rPr>
        <w:tab/>
      </w:r>
      <w:r>
        <w:rPr>
          <w:color w:val="auto"/>
        </w:rPr>
        <w:tab/>
        <w:t>Im Reagenzglas mit dem Magnesium tritt nach Zugabe der Salzsäure eine heftige Gasentwicklung auf. Das Glas wird sehr warm. Im Glas mit dem Zink fällt die Reaktion weniger heftig aus, beim Eisen ist kaum noch eine Ga</w:t>
      </w:r>
      <w:r>
        <w:rPr>
          <w:color w:val="auto"/>
        </w:rPr>
        <w:t>s</w:t>
      </w:r>
      <w:r>
        <w:rPr>
          <w:color w:val="auto"/>
        </w:rPr>
        <w:t>entwicklung zu beobachten. In allen drei Fällen fällt die Knallgasprobe p</w:t>
      </w:r>
      <w:r>
        <w:rPr>
          <w:color w:val="auto"/>
        </w:rPr>
        <w:t>o</w:t>
      </w:r>
      <w:r>
        <w:rPr>
          <w:color w:val="auto"/>
        </w:rPr>
        <w:t>sitiv aus, wobei die Probe mit dem Eisen zeitverzögert und nur spärlich auftritt. Kupfer zeigt keine Erwärmung oder Gasentwicklung nach Zugabe der Salzsäure.</w:t>
      </w:r>
    </w:p>
    <w:p w:rsidR="00AD490B" w:rsidRDefault="00AD490B" w:rsidP="00AD490B">
      <w:pPr>
        <w:keepNext/>
        <w:tabs>
          <w:tab w:val="left" w:pos="1701"/>
          <w:tab w:val="left" w:pos="1985"/>
        </w:tabs>
        <w:ind w:left="1980" w:hanging="1980"/>
      </w:pPr>
      <w:r>
        <w:rPr>
          <w:noProof/>
          <w:lang w:eastAsia="de-DE"/>
        </w:rPr>
        <w:drawing>
          <wp:inline distT="0" distB="0" distL="0" distR="0" wp14:anchorId="67D02142" wp14:editId="3698CC0D">
            <wp:extent cx="5822950" cy="4537710"/>
            <wp:effectExtent l="0" t="0" r="635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2950" cy="4537710"/>
                    </a:xfrm>
                    <a:prstGeom prst="rect">
                      <a:avLst/>
                    </a:prstGeom>
                    <a:noFill/>
                    <a:ln>
                      <a:noFill/>
                    </a:ln>
                  </pic:spPr>
                </pic:pic>
              </a:graphicData>
            </a:graphic>
          </wp:inline>
        </w:drawing>
      </w:r>
    </w:p>
    <w:p w:rsidR="00AD490B" w:rsidRDefault="00AD490B" w:rsidP="00AD490B">
      <w:pPr>
        <w:pStyle w:val="Beschriftung"/>
      </w:pPr>
      <w:r>
        <w:t xml:space="preserve">Abbildung </w:t>
      </w:r>
      <w:r>
        <w:fldChar w:fldCharType="begin"/>
      </w:r>
      <w:r>
        <w:instrText xml:space="preserve"> SEQ Abbildung \* ARABIC </w:instrText>
      </w:r>
      <w:r>
        <w:fldChar w:fldCharType="separate"/>
      </w:r>
      <w:r>
        <w:rPr>
          <w:noProof/>
        </w:rPr>
        <w:t>4</w:t>
      </w:r>
      <w:r>
        <w:fldChar w:fldCharType="end"/>
      </w:r>
      <w:r>
        <w:t>: Reaktion von Metallen mit verd. Salzsäure. Von links nach rechts: Magnesium, Zink, Eisen, Ku</w:t>
      </w:r>
      <w:r>
        <w:t>p</w:t>
      </w:r>
      <w:r>
        <w:t>fer.</w:t>
      </w:r>
    </w:p>
    <w:p w:rsidR="00AD490B" w:rsidRPr="00843390" w:rsidRDefault="00AD490B" w:rsidP="00AD490B">
      <w:pPr>
        <w:tabs>
          <w:tab w:val="left" w:pos="1701"/>
          <w:tab w:val="left" w:pos="1985"/>
        </w:tabs>
        <w:ind w:left="1980" w:hanging="1980"/>
        <w:rPr>
          <w:color w:val="FF0000"/>
        </w:rPr>
      </w:pPr>
      <w:r>
        <w:rPr>
          <w:color w:val="auto"/>
        </w:rPr>
        <w:t>Deutung:</w:t>
      </w:r>
      <w:r>
        <w:rPr>
          <w:color w:val="auto"/>
        </w:rPr>
        <w:tab/>
      </w:r>
      <w:r>
        <w:rPr>
          <w:color w:val="auto"/>
        </w:rPr>
        <w:tab/>
        <w:t>Unedle Metalle reagieren mit Salzsäure unter Wasserstoffbildung zu den entsprechenden Metallsalzen. Kupfer als Edelmetall regiert nicht mit Sal</w:t>
      </w:r>
      <w:r>
        <w:rPr>
          <w:color w:val="auto"/>
        </w:rPr>
        <w:t>z</w:t>
      </w:r>
      <w:r>
        <w:rPr>
          <w:color w:val="auto"/>
        </w:rPr>
        <w:t xml:space="preserve">säure. </w:t>
      </w:r>
    </w:p>
    <w:p w:rsidR="00AD490B" w:rsidRPr="003D1AAE" w:rsidRDefault="00AD490B" w:rsidP="00AD490B">
      <w:pPr>
        <w:tabs>
          <w:tab w:val="left" w:pos="1701"/>
          <w:tab w:val="left" w:pos="1985"/>
        </w:tabs>
        <w:ind w:left="1980" w:hanging="1980"/>
        <w:rPr>
          <w:color w:val="auto"/>
        </w:rPr>
      </w:pPr>
      <w:r w:rsidRPr="003D1AAE">
        <w:rPr>
          <w:color w:val="auto"/>
        </w:rPr>
        <w:t>Entsorgung:</w:t>
      </w:r>
      <w:r w:rsidRPr="003D1AAE">
        <w:rPr>
          <w:color w:val="auto"/>
        </w:rPr>
        <w:tab/>
      </w:r>
      <w:r w:rsidRPr="003D1AAE">
        <w:rPr>
          <w:color w:val="auto"/>
        </w:rPr>
        <w:tab/>
      </w:r>
      <w:r>
        <w:rPr>
          <w:color w:val="auto"/>
        </w:rPr>
        <w:t>Die Produkte werden in den Behälter für anorganischen Abfall gegeben. Kupfer kann abgespült und wiederverwendet werden.</w:t>
      </w:r>
    </w:p>
    <w:p w:rsidR="00AD490B" w:rsidRDefault="00AD490B" w:rsidP="00AD490B">
      <w:pPr>
        <w:tabs>
          <w:tab w:val="left" w:pos="1701"/>
          <w:tab w:val="left" w:pos="1985"/>
        </w:tabs>
        <w:ind w:left="1980" w:hanging="1980"/>
        <w:rPr>
          <w:color w:val="auto"/>
        </w:rPr>
      </w:pPr>
      <w:r>
        <w:rPr>
          <w:color w:val="auto"/>
        </w:rPr>
        <w:lastRenderedPageBreak/>
        <w:t>Literatur:</w:t>
      </w:r>
      <w:r>
        <w:rPr>
          <w:color w:val="auto"/>
        </w:rPr>
        <w:tab/>
      </w:r>
      <w:r>
        <w:rPr>
          <w:color w:val="auto"/>
        </w:rPr>
        <w:tab/>
        <w:t xml:space="preserve">W. Asselborn, M. Jäckel, K.T. Risch, Chemie heute SI, Schroedel, </w:t>
      </w:r>
      <w:r w:rsidRPr="00BC3B6F">
        <w:rPr>
          <w:color w:val="auto"/>
        </w:rPr>
        <w:t>200</w:t>
      </w:r>
      <w:r>
        <w:rPr>
          <w:color w:val="auto"/>
        </w:rPr>
        <w:t>1, S. 207</w:t>
      </w:r>
    </w:p>
    <w:p w:rsidR="00AD490B" w:rsidRDefault="00AD490B" w:rsidP="00AD490B">
      <w:pPr>
        <w:tabs>
          <w:tab w:val="left" w:pos="1701"/>
          <w:tab w:val="left" w:pos="1985"/>
        </w:tabs>
        <w:ind w:left="1980" w:hanging="1980"/>
      </w:pPr>
      <w:r>
        <w:rPr>
          <w:noProof/>
          <w:lang w:eastAsia="de-DE"/>
        </w:rPr>
        <mc:AlternateContent>
          <mc:Choice Requires="wps">
            <w:drawing>
              <wp:inline distT="0" distB="0" distL="0" distR="0" wp14:anchorId="1ED8D7DB" wp14:editId="7FDDAAD2">
                <wp:extent cx="5873115" cy="2541905"/>
                <wp:effectExtent l="0" t="0" r="13335" b="10795"/>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4190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90B" w:rsidRPr="00B23123" w:rsidRDefault="00AD490B" w:rsidP="00AD490B">
                            <w:pPr>
                              <w:rPr>
                                <w:color w:val="auto"/>
                              </w:rPr>
                            </w:pPr>
                            <w:r>
                              <w:rPr>
                                <w:color w:val="auto"/>
                              </w:rPr>
                              <w:t>Dieser Versuch kann auch mit anderen Säuren durchgeführt werden, um zu zeigen, dass das Reaktionsverhalten der Metalle gegenüber Säuren ähnliche Tendenzen aufweist. Dabei ist d</w:t>
                            </w:r>
                            <w:r>
                              <w:rPr>
                                <w:color w:val="auto"/>
                              </w:rPr>
                              <w:t>a</w:t>
                            </w:r>
                            <w:r>
                              <w:rPr>
                                <w:color w:val="auto"/>
                              </w:rPr>
                              <w:t>rauf zu achten, nicht mit starken Säuren (es sei denn, sie sind, wie in diesem Versuch, ve</w:t>
                            </w:r>
                            <w:r>
                              <w:rPr>
                                <w:color w:val="auto"/>
                              </w:rPr>
                              <w:t>r</w:t>
                            </w:r>
                            <w:r>
                              <w:rPr>
                                <w:color w:val="auto"/>
                              </w:rPr>
                              <w:t>dünnt) zu arbeiten, da die Reaktionen sonst zu heftig ausfallen könnten. Weiterführend kön</w:t>
                            </w:r>
                            <w:r>
                              <w:rPr>
                                <w:color w:val="auto"/>
                              </w:rPr>
                              <w:t>n</w:t>
                            </w:r>
                            <w:r>
                              <w:rPr>
                                <w:color w:val="auto"/>
                              </w:rPr>
                              <w:t>ten die Proben nach der Knallgasprobe eingedampft werden, um die entsprechenden Metal</w:t>
                            </w:r>
                            <w:r>
                              <w:rPr>
                                <w:color w:val="auto"/>
                              </w:rPr>
                              <w:t>l</w:t>
                            </w:r>
                            <w:r>
                              <w:rPr>
                                <w:color w:val="auto"/>
                              </w:rPr>
                              <w:t>salze nachzuweisen. Alternativ könnte dieser Versuch auch mit Laugen, statt mit Säuren durchgeführt werden. Allerdings reagieren nur bestimmte Metalle mit Laugen, sodass die Wa</w:t>
                            </w:r>
                            <w:r>
                              <w:rPr>
                                <w:color w:val="auto"/>
                              </w:rPr>
                              <w:t>s</w:t>
                            </w:r>
                            <w:r>
                              <w:rPr>
                                <w:color w:val="auto"/>
                              </w:rPr>
                              <w:t>serstoffentwicklung nur bedingt beobachtet werden kann. Wenn die Metalle längere Zeit an der Luft stehen, dann kann es passieren, dass sie passivieren. Somit führt der Versuch nicht zum gewünschten Ergebnis.</w:t>
                            </w:r>
                          </w:p>
                        </w:txbxContent>
                      </wps:txbx>
                      <wps:bodyPr rot="0" vert="horz" wrap="square" lIns="91440" tIns="45720" rIns="91440" bIns="45720" anchor="t" anchorCtr="0" upright="1">
                        <a:noAutofit/>
                      </wps:bodyPr>
                    </wps:wsp>
                  </a:graphicData>
                </a:graphic>
              </wp:inline>
            </w:drawing>
          </mc:Choice>
          <mc:Fallback>
            <w:pict>
              <v:shape id="Textfeld 65" o:spid="_x0000_s1027" type="#_x0000_t202" style="width:462.45pt;height:2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" strokecolor="#c0504d" strokeweight="1pt">
                <v:stroke dashstyle="dash"/>
                <v:shadow color="#868686"/>
                <v:textbox>
                  <w:txbxContent>
                    <w:p w:rsidR="00AD490B" w:rsidRPr="00B23123" w:rsidRDefault="00AD490B" w:rsidP="00AD490B">
                      <w:pPr>
                        <w:rPr>
                          <w:color w:val="auto"/>
                        </w:rPr>
                      </w:pPr>
                      <w:r>
                        <w:rPr>
                          <w:color w:val="auto"/>
                        </w:rPr>
                        <w:t>Dieser Versuch kann auch mit anderen Säuren durchgeführt werden, um zu zeigen, dass das Reaktionsverhalten der Metalle gegenüber Säuren ähnliche Tendenzen aufweist. Dabei ist d</w:t>
                      </w:r>
                      <w:r>
                        <w:rPr>
                          <w:color w:val="auto"/>
                        </w:rPr>
                        <w:t>a</w:t>
                      </w:r>
                      <w:r>
                        <w:rPr>
                          <w:color w:val="auto"/>
                        </w:rPr>
                        <w:t>rauf zu achten, nicht mit starken Säuren (es sei denn, sie sind, wie in diesem Versuch, ve</w:t>
                      </w:r>
                      <w:r>
                        <w:rPr>
                          <w:color w:val="auto"/>
                        </w:rPr>
                        <w:t>r</w:t>
                      </w:r>
                      <w:r>
                        <w:rPr>
                          <w:color w:val="auto"/>
                        </w:rPr>
                        <w:t>dünnt) zu arbeiten, da die Reaktionen sonst zu heftig ausfallen könnten. Weiterführend kön</w:t>
                      </w:r>
                      <w:r>
                        <w:rPr>
                          <w:color w:val="auto"/>
                        </w:rPr>
                        <w:t>n</w:t>
                      </w:r>
                      <w:r>
                        <w:rPr>
                          <w:color w:val="auto"/>
                        </w:rPr>
                        <w:t>ten die Proben nach der Knallgasprobe eingedampft werden, um die entsprechenden Metal</w:t>
                      </w:r>
                      <w:r>
                        <w:rPr>
                          <w:color w:val="auto"/>
                        </w:rPr>
                        <w:t>l</w:t>
                      </w:r>
                      <w:r>
                        <w:rPr>
                          <w:color w:val="auto"/>
                        </w:rPr>
                        <w:t>salze nachzuweisen. Alternativ könnte dieser Versuch auch mit Laugen, statt mit Säuren durchgeführt werden. Allerdings reagieren nur bestimmte Metalle mit Laugen, sodass die Wa</w:t>
                      </w:r>
                      <w:r>
                        <w:rPr>
                          <w:color w:val="auto"/>
                        </w:rPr>
                        <w:t>s</w:t>
                      </w:r>
                      <w:r>
                        <w:rPr>
                          <w:color w:val="auto"/>
                        </w:rPr>
                        <w:t>serstoffentwicklung nur bedingt beobachtet werden kann. Wenn die Metalle längere Zeit an der Luft stehen, dann kann es passieren, dass sie passivieren. Somit führt der Versuch nicht zum gewünschten Ergebnis.</w:t>
                      </w:r>
                    </w:p>
                  </w:txbxContent>
                </v:textbox>
                <w10:anchorlock/>
              </v:shape>
            </w:pict>
          </mc:Fallback>
        </mc:AlternateContent>
      </w:r>
    </w:p>
    <w:p w:rsidR="00BE6DD9" w:rsidRPr="00AD490B" w:rsidRDefault="00BE6DD9" w:rsidP="00AD490B"/>
    <w:sectPr w:rsidR="00BE6DD9" w:rsidRPr="00AD490B"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D490B" w:rsidRPr="00AD490B">
            <w:rPr>
              <w:b/>
              <w:bCs/>
              <w:noProof/>
              <w:sz w:val="20"/>
              <w:szCs w:val="20"/>
            </w:rPr>
            <w:t>V 5 – Reaktionen von sauren Lösungen mit Metallen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D490B">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9"/>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3A62"/>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09"/>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4CE5"/>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490B"/>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4A63-6DA5-42AD-A429-905CF1AE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2013-08-14T18:51:00Z</dcterms:created>
  <dcterms:modified xsi:type="dcterms:W3CDTF">2013-08-14T18:51:00Z</dcterms:modified>
</cp:coreProperties>
</file>