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46" w:rsidRPr="005D6345" w:rsidRDefault="008D4846" w:rsidP="008D4846">
      <w:pPr>
        <w:pStyle w:val="berschrift2"/>
        <w:numPr>
          <w:ilvl w:val="0"/>
          <w:numId w:val="0"/>
        </w:numPr>
        <w:ind w:left="576" w:hanging="576"/>
        <w:rPr>
          <w:color w:val="auto"/>
        </w:rPr>
      </w:pPr>
      <w:bookmarkStart w:id="0" w:name="_Toc363541953"/>
      <w:r>
        <w:rPr>
          <w:color w:val="auto"/>
        </w:rPr>
        <w:t>V4 – Die Brennstoffzelle als Energiespeicher</w:t>
      </w:r>
      <w:bookmarkEnd w:id="0"/>
    </w:p>
    <w:p w:rsidR="008D4846" w:rsidRPr="005D6345" w:rsidRDefault="008D4846" w:rsidP="008D4846">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2.8pt;margin-top:12.3pt;width:462.45pt;height:336.8pt;z-index:251660288;mso-width-relative:margin;mso-height-relative:margin" strokecolor="#4bacc6" strokeweight="1pt">
            <v:stroke dashstyle="dash"/>
            <v:shadow color="#868686"/>
            <v:textbox style="mso-next-textbox:#_x0000_s1027">
              <w:txbxContent>
                <w:p w:rsidR="008D4846" w:rsidRDefault="008D4846" w:rsidP="008D4846">
                  <w:pPr>
                    <w:rPr>
                      <w:color w:val="auto"/>
                    </w:rPr>
                  </w:pPr>
                  <w:r>
                    <w:rPr>
                      <w:color w:val="auto"/>
                    </w:rPr>
                    <w:t xml:space="preserve">Bei diesem Versuch wird ein </w:t>
                  </w:r>
                  <w:proofErr w:type="spellStart"/>
                  <w:r>
                    <w:rPr>
                      <w:color w:val="auto"/>
                    </w:rPr>
                    <w:t>Elektrolysator</w:t>
                  </w:r>
                  <w:proofErr w:type="spellEnd"/>
                  <w:r>
                    <w:rPr>
                      <w:color w:val="auto"/>
                    </w:rPr>
                    <w:t xml:space="preserve"> mit dem Strom einer Solarzelle betrieben. Die so hergestellten Gase Wasserstoff und Sauerstoff werden in eine Brennstoffzelle eingeleitet, wo sie unter Freisetzung von elektrischer Energie reagieren. Deren Entstehung wird durch das betreiben eines kleinen Motors deutlich gemacht. </w:t>
                  </w:r>
                </w:p>
                <w:p w:rsidR="008D4846" w:rsidRDefault="008D4846" w:rsidP="008D4846">
                  <w:pPr>
                    <w:rPr>
                      <w:color w:val="auto"/>
                    </w:rPr>
                  </w:pPr>
                  <w:r>
                    <w:rPr>
                      <w:color w:val="auto"/>
                    </w:rPr>
                    <w:t xml:space="preserve">Dieser Versuch kann dazu genutzt werden, den SuS zu zeigen, wofür Brennstoffzellen genutzt werden können. So ist zum Beispiel ein großes Problem der erneuerbaren Energien, dass sie </w:t>
                  </w:r>
                  <w:proofErr w:type="spellStart"/>
                  <w:r>
                    <w:rPr>
                      <w:color w:val="auto"/>
                    </w:rPr>
                    <w:t>wetter</w:t>
                  </w:r>
                  <w:proofErr w:type="spellEnd"/>
                  <w:r>
                    <w:rPr>
                      <w:color w:val="auto"/>
                    </w:rPr>
                    <w:t>- bzw. zeitabhängig sind. Die Brennstoffzelle bietet eine Möglichkeit, die von Windkraf</w:t>
                  </w:r>
                  <w:r>
                    <w:rPr>
                      <w:color w:val="auto"/>
                    </w:rPr>
                    <w:t>t</w:t>
                  </w:r>
                  <w:r>
                    <w:rPr>
                      <w:color w:val="auto"/>
                    </w:rPr>
                    <w:t xml:space="preserve">rädern, Solaranlagen oder ähnlichen Geräten erzeugte Energie zu speichern, um sie zu einem späteren Zeitpunkt nutzbar zu machen. Dieses Vorgehen soll in diesem Versuch erarbeitet werden. </w:t>
                  </w:r>
                </w:p>
                <w:p w:rsidR="008D4846" w:rsidRPr="00157EA2" w:rsidRDefault="008D4846" w:rsidP="008D4846">
                  <w:pPr>
                    <w:rPr>
                      <w:color w:val="auto"/>
                    </w:rPr>
                  </w:pPr>
                  <w:r>
                    <w:rPr>
                      <w:color w:val="auto"/>
                    </w:rPr>
                    <w:t>Die SuS sollten wissen, was eine Solarzelle ist und was sie tut. Sie sollten außerdem sowohl die Elektrolyse von Wasser und die dabei entstehenden Produkte kennen, als auch wissen, dass die Umkehrreaktion Energie freisetzt, die eine Brennstoffzelle in Form von Strom nutzbar macht. Hierdurch können sie sich auf das Wesentliche, nämlich die Energieumwandlung konzentri</w:t>
                  </w:r>
                  <w:r>
                    <w:rPr>
                      <w:color w:val="auto"/>
                    </w:rPr>
                    <w:t>e</w:t>
                  </w:r>
                  <w:r>
                    <w:rPr>
                      <w:color w:val="auto"/>
                    </w:rPr>
                    <w:t>ren und müssen nicht noch die einzelnen Bestandteile des Versuchsaufbaus und deren Funkt</w:t>
                  </w:r>
                  <w:r>
                    <w:rPr>
                      <w:color w:val="auto"/>
                    </w:rPr>
                    <w:t>i</w:t>
                  </w:r>
                  <w:r>
                    <w:rPr>
                      <w:color w:val="auto"/>
                    </w:rPr>
                    <w:t xml:space="preserve">on erarbeiten.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D4846" w:rsidRPr="005D6345" w:rsidTr="00EF5529">
        <w:tc>
          <w:tcPr>
            <w:tcW w:w="9322" w:type="dxa"/>
            <w:gridSpan w:val="9"/>
            <w:shd w:val="clear" w:color="auto" w:fill="4F81BD"/>
            <w:vAlign w:val="center"/>
          </w:tcPr>
          <w:p w:rsidR="008D4846" w:rsidRPr="005D6345" w:rsidRDefault="008D4846" w:rsidP="00EF5529">
            <w:pPr>
              <w:spacing w:after="0"/>
              <w:jc w:val="center"/>
              <w:rPr>
                <w:rFonts w:eastAsiaTheme="minorHAnsi" w:cstheme="minorBidi"/>
                <w:b/>
                <w:bCs/>
                <w:color w:val="auto"/>
              </w:rPr>
            </w:pPr>
            <w:r w:rsidRPr="005D6345">
              <w:rPr>
                <w:rFonts w:eastAsiaTheme="minorHAnsi" w:cstheme="minorBidi"/>
                <w:b/>
                <w:bCs/>
                <w:color w:val="auto"/>
              </w:rPr>
              <w:t>Gefahrenstoffe</w:t>
            </w:r>
          </w:p>
        </w:tc>
      </w:tr>
      <w:tr w:rsidR="008D4846" w:rsidRPr="005D6345" w:rsidTr="00EF55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D4846" w:rsidRPr="005D6345" w:rsidRDefault="008D4846" w:rsidP="00EF5529">
            <w:pPr>
              <w:spacing w:after="0" w:line="276" w:lineRule="auto"/>
              <w:jc w:val="center"/>
              <w:rPr>
                <w:rFonts w:eastAsiaTheme="minorHAnsi" w:cstheme="minorBidi"/>
                <w:b/>
                <w:bCs/>
                <w:color w:val="auto"/>
              </w:rPr>
            </w:pPr>
            <w:r>
              <w:rPr>
                <w:rFonts w:eastAsiaTheme="minorHAnsi" w:cstheme="minorBidi"/>
                <w:color w:val="auto"/>
                <w:sz w:val="20"/>
              </w:rPr>
              <w:t>Wasser</w:t>
            </w:r>
          </w:p>
        </w:tc>
        <w:tc>
          <w:tcPr>
            <w:tcW w:w="3177" w:type="dxa"/>
            <w:gridSpan w:val="3"/>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color w:val="auto"/>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color w:val="auto"/>
                <w:sz w:val="20"/>
              </w:rPr>
              <w:t>-</w:t>
            </w:r>
          </w:p>
        </w:tc>
      </w:tr>
      <w:tr w:rsidR="008D4846" w:rsidRPr="005D6345" w:rsidTr="00EF5529">
        <w:tc>
          <w:tcPr>
            <w:tcW w:w="1009" w:type="dxa"/>
            <w:tcBorders>
              <w:top w:val="single" w:sz="8" w:space="0" w:color="4F81BD"/>
              <w:left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b/>
                <w:bCs/>
                <w:color w:val="auto"/>
              </w:rPr>
            </w:pPr>
            <w:r>
              <w:rPr>
                <w:rFonts w:eastAsiaTheme="minorHAnsi" w:cstheme="minorBidi"/>
                <w:b/>
                <w:noProof/>
                <w:color w:val="auto"/>
                <w:lang w:eastAsia="de-DE"/>
              </w:rPr>
              <w:drawing>
                <wp:inline distT="0" distB="0" distL="0" distR="0">
                  <wp:extent cx="498475" cy="498475"/>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D4846" w:rsidRPr="005D6345" w:rsidRDefault="008D4846"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8D4846" w:rsidRPr="005D6345" w:rsidRDefault="008D4846" w:rsidP="008D4846">
      <w:pPr>
        <w:tabs>
          <w:tab w:val="left" w:pos="1701"/>
          <w:tab w:val="left" w:pos="1985"/>
        </w:tabs>
        <w:ind w:left="1980" w:hanging="1980"/>
        <w:rPr>
          <w:color w:val="auto"/>
        </w:rPr>
      </w:pPr>
    </w:p>
    <w:p w:rsidR="008D4846" w:rsidRPr="005D6345" w:rsidRDefault="008D4846" w:rsidP="008D4846">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Pr>
          <w:color w:val="auto"/>
        </w:rPr>
        <w:t xml:space="preserve">Materialkoffer zur Brennstoffzelle (enthält Solarzelle, </w:t>
      </w:r>
      <w:proofErr w:type="spellStart"/>
      <w:r>
        <w:rPr>
          <w:color w:val="auto"/>
        </w:rPr>
        <w:t>Elektrolysator</w:t>
      </w:r>
      <w:proofErr w:type="spellEnd"/>
      <w:r>
        <w:rPr>
          <w:color w:val="auto"/>
        </w:rPr>
        <w:t>, Brennstoffzelle und motorbetriebener Rotor)</w:t>
      </w:r>
    </w:p>
    <w:p w:rsidR="008D4846" w:rsidRPr="005D6345" w:rsidRDefault="008D4846" w:rsidP="008D4846">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Wasser</w:t>
      </w:r>
    </w:p>
    <w:p w:rsidR="008D4846" w:rsidRPr="005D6345" w:rsidRDefault="008D4846" w:rsidP="008D4846">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 xml:space="preserve">Die Solarzelle wird mit dem </w:t>
      </w:r>
      <w:proofErr w:type="spellStart"/>
      <w:r>
        <w:rPr>
          <w:color w:val="auto"/>
        </w:rPr>
        <w:t>Elektrolysator</w:t>
      </w:r>
      <w:proofErr w:type="spellEnd"/>
      <w:r>
        <w:rPr>
          <w:color w:val="auto"/>
        </w:rPr>
        <w:t xml:space="preserve"> verbunden. Die dort aufgefa</w:t>
      </w:r>
      <w:r>
        <w:rPr>
          <w:color w:val="auto"/>
        </w:rPr>
        <w:t>n</w:t>
      </w:r>
      <w:r>
        <w:rPr>
          <w:color w:val="auto"/>
        </w:rPr>
        <w:t>genen Gase werden in die Brennstoffzelle geleitet. Diese wird mit dem m</w:t>
      </w:r>
      <w:r>
        <w:rPr>
          <w:color w:val="auto"/>
        </w:rPr>
        <w:t>o</w:t>
      </w:r>
      <w:r>
        <w:rPr>
          <w:color w:val="auto"/>
        </w:rPr>
        <w:t xml:space="preserve">torbetriebenen Rotor verbunden. </w:t>
      </w:r>
    </w:p>
    <w:p w:rsidR="008D4846" w:rsidRPr="005D6345" w:rsidRDefault="008D4846" w:rsidP="008D4846">
      <w:pPr>
        <w:tabs>
          <w:tab w:val="left" w:pos="1701"/>
          <w:tab w:val="left" w:pos="1985"/>
        </w:tabs>
        <w:ind w:left="1980" w:hanging="1980"/>
        <w:rPr>
          <w:color w:val="auto"/>
        </w:rPr>
      </w:pPr>
      <w:r w:rsidRPr="005D6345">
        <w:rPr>
          <w:color w:val="auto"/>
        </w:rPr>
        <w:lastRenderedPageBreak/>
        <w:t>Beobachtung:</w:t>
      </w:r>
      <w:r w:rsidRPr="005D6345">
        <w:rPr>
          <w:color w:val="auto"/>
        </w:rPr>
        <w:tab/>
      </w:r>
      <w:r w:rsidRPr="005D6345">
        <w:rPr>
          <w:color w:val="auto"/>
        </w:rPr>
        <w:tab/>
      </w:r>
      <w:r>
        <w:rPr>
          <w:color w:val="auto"/>
        </w:rPr>
        <w:t xml:space="preserve">Bei Belichtung der Solarzelle beobachtet man im </w:t>
      </w:r>
      <w:proofErr w:type="spellStart"/>
      <w:r>
        <w:rPr>
          <w:color w:val="auto"/>
        </w:rPr>
        <w:t>Elektrolysator</w:t>
      </w:r>
      <w:proofErr w:type="spellEnd"/>
      <w:r>
        <w:rPr>
          <w:color w:val="auto"/>
        </w:rPr>
        <w:t xml:space="preserve"> eine Ga</w:t>
      </w:r>
      <w:r>
        <w:rPr>
          <w:color w:val="auto"/>
        </w:rPr>
        <w:t>s</w:t>
      </w:r>
      <w:r>
        <w:rPr>
          <w:color w:val="auto"/>
        </w:rPr>
        <w:t>bildung. Diese verläuft umso heftiger, je mehr die Sonne scheint. Nach ku</w:t>
      </w:r>
      <w:r>
        <w:rPr>
          <w:color w:val="auto"/>
        </w:rPr>
        <w:t>r</w:t>
      </w:r>
      <w:r>
        <w:rPr>
          <w:color w:val="auto"/>
        </w:rPr>
        <w:t xml:space="preserve">zer Zeit beginnt der Rotor sich zu drehen. </w:t>
      </w:r>
    </w:p>
    <w:p w:rsidR="008D4846" w:rsidRPr="00B013EA" w:rsidRDefault="008D4846" w:rsidP="008D4846">
      <w:pPr>
        <w:keepNext/>
        <w:tabs>
          <w:tab w:val="left" w:pos="1701"/>
          <w:tab w:val="left" w:pos="1985"/>
        </w:tabs>
        <w:rPr>
          <w:sz w:val="18"/>
          <w:szCs w:val="18"/>
        </w:rPr>
      </w:pPr>
      <w:r>
        <w:rPr>
          <w:noProof/>
          <w:sz w:val="18"/>
          <w:szCs w:val="18"/>
          <w:lang w:eastAsia="de-DE"/>
        </w:rPr>
        <w:drawing>
          <wp:anchor distT="0" distB="0" distL="114300" distR="114300" simplePos="0" relativeHeight="251661312" behindDoc="1" locked="0" layoutInCell="1" allowOverlap="1">
            <wp:simplePos x="0" y="0"/>
            <wp:positionH relativeFrom="column">
              <wp:posOffset>189865</wp:posOffset>
            </wp:positionH>
            <wp:positionV relativeFrom="paragraph">
              <wp:posOffset>28575</wp:posOffset>
            </wp:positionV>
            <wp:extent cx="5462905" cy="2139315"/>
            <wp:effectExtent l="19050" t="0" r="4445" b="0"/>
            <wp:wrapTight wrapText="bothSides">
              <wp:wrapPolygon edited="0">
                <wp:start x="-75" y="0"/>
                <wp:lineTo x="-75" y="21350"/>
                <wp:lineTo x="21618" y="21350"/>
                <wp:lineTo x="21618" y="0"/>
                <wp:lineTo x="-75" y="0"/>
              </wp:wrapPolygon>
            </wp:wrapTight>
            <wp:docPr id="1" name="Bild 4" descr="DSC0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879"/>
                    <pic:cNvPicPr>
                      <a:picLocks noChangeAspect="1" noChangeArrowheads="1"/>
                    </pic:cNvPicPr>
                  </pic:nvPicPr>
                  <pic:blipFill>
                    <a:blip r:embed="rId14" cstate="print"/>
                    <a:srcRect t="25986" r="5055" b="24411"/>
                    <a:stretch>
                      <a:fillRect/>
                    </a:stretch>
                  </pic:blipFill>
                  <pic:spPr bwMode="auto">
                    <a:xfrm>
                      <a:off x="0" y="0"/>
                      <a:ext cx="5462905" cy="2139315"/>
                    </a:xfrm>
                    <a:prstGeom prst="rect">
                      <a:avLst/>
                    </a:prstGeom>
                    <a:noFill/>
                  </pic:spPr>
                </pic:pic>
              </a:graphicData>
            </a:graphic>
          </wp:anchor>
        </w:drawing>
      </w:r>
      <w:r w:rsidRPr="00B013EA">
        <w:rPr>
          <w:sz w:val="18"/>
          <w:szCs w:val="18"/>
        </w:rPr>
        <w:t xml:space="preserve">Abb. </w:t>
      </w:r>
      <w:r w:rsidRPr="00B013EA">
        <w:rPr>
          <w:sz w:val="18"/>
          <w:szCs w:val="18"/>
        </w:rPr>
        <w:fldChar w:fldCharType="begin"/>
      </w:r>
      <w:r w:rsidRPr="00B013EA">
        <w:rPr>
          <w:sz w:val="18"/>
          <w:szCs w:val="18"/>
        </w:rPr>
        <w:instrText xml:space="preserve"> SEQ Abb. \* ARABIC </w:instrText>
      </w:r>
      <w:r w:rsidRPr="00B013EA">
        <w:rPr>
          <w:sz w:val="18"/>
          <w:szCs w:val="18"/>
        </w:rPr>
        <w:fldChar w:fldCharType="separate"/>
      </w:r>
      <w:r w:rsidRPr="00B013EA">
        <w:rPr>
          <w:noProof/>
          <w:sz w:val="18"/>
          <w:szCs w:val="18"/>
        </w:rPr>
        <w:t>3</w:t>
      </w:r>
      <w:r w:rsidRPr="00B013EA">
        <w:rPr>
          <w:sz w:val="18"/>
          <w:szCs w:val="18"/>
        </w:rPr>
        <w:fldChar w:fldCharType="end"/>
      </w:r>
      <w:r w:rsidRPr="00B013EA">
        <w:rPr>
          <w:sz w:val="18"/>
          <w:szCs w:val="18"/>
        </w:rPr>
        <w:t xml:space="preserve"> - </w:t>
      </w:r>
      <w:r w:rsidRPr="00B013EA">
        <w:rPr>
          <w:noProof/>
          <w:sz w:val="18"/>
          <w:szCs w:val="18"/>
        </w:rPr>
        <w:t xml:space="preserve"> Versuchsaufbau von links nach rechts: Solarzelle, Elektrolysator, Brennstoffzelle, motorbetriebener Rotor</w:t>
      </w:r>
    </w:p>
    <w:p w:rsidR="008D4846" w:rsidRDefault="008D4846" w:rsidP="008D4846">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Pr>
          <w:color w:val="auto"/>
        </w:rPr>
        <w:t>Mithilfe des durch die Solarzelle erzeugten Stroms wird Wasser elektrol</w:t>
      </w:r>
      <w:r>
        <w:rPr>
          <w:color w:val="auto"/>
        </w:rPr>
        <w:t>y</w:t>
      </w:r>
      <w:r>
        <w:rPr>
          <w:color w:val="auto"/>
        </w:rPr>
        <w:t>siert. Dabei entstehen Wasserstoff und Sauerstoff, die in eine Brennstoffze</w:t>
      </w:r>
      <w:r>
        <w:rPr>
          <w:color w:val="auto"/>
        </w:rPr>
        <w:t>l</w:t>
      </w:r>
      <w:r>
        <w:rPr>
          <w:color w:val="auto"/>
        </w:rPr>
        <w:t xml:space="preserve">le geleitet werden. </w:t>
      </w:r>
    </w:p>
    <w:p w:rsidR="008D4846" w:rsidRPr="00CE0251" w:rsidRDefault="008D4846" w:rsidP="008D4846">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O </w:t>
      </w:r>
      <w:r>
        <w:rPr>
          <w:color w:val="auto"/>
          <w:vertAlign w:val="subscript"/>
        </w:rPr>
        <w:t xml:space="preserve">(l) </w:t>
      </w:r>
      <w:r>
        <w:rPr>
          <w:rFonts w:ascii="Lucida Sans Unicode" w:hAnsi="Lucida Sans Unicode" w:cs="Lucida Sans Unicode"/>
          <w:color w:val="auto"/>
        </w:rPr>
        <w:t>→</w:t>
      </w:r>
      <w:r>
        <w:rPr>
          <w:color w:val="auto"/>
        </w:rPr>
        <w:t xml:space="preserve"> 2 H</w:t>
      </w:r>
      <w:r>
        <w:rPr>
          <w:color w:val="auto"/>
          <w:vertAlign w:val="subscript"/>
        </w:rPr>
        <w:t xml:space="preserve">2 (g) </w:t>
      </w:r>
      <w:r>
        <w:rPr>
          <w:color w:val="auto"/>
        </w:rPr>
        <w:t>+ O</w:t>
      </w:r>
      <w:r>
        <w:rPr>
          <w:color w:val="auto"/>
          <w:vertAlign w:val="subscript"/>
        </w:rPr>
        <w:t>2 (g)</w:t>
      </w:r>
    </w:p>
    <w:p w:rsidR="008D4846" w:rsidRDefault="008D4846" w:rsidP="008D4846">
      <w:pPr>
        <w:tabs>
          <w:tab w:val="left" w:pos="1701"/>
          <w:tab w:val="left" w:pos="1985"/>
        </w:tabs>
        <w:ind w:left="1980" w:hanging="1980"/>
        <w:rPr>
          <w:color w:val="auto"/>
        </w:rPr>
      </w:pPr>
      <w:r>
        <w:rPr>
          <w:color w:val="auto"/>
        </w:rPr>
        <w:tab/>
      </w:r>
      <w:r>
        <w:rPr>
          <w:color w:val="auto"/>
        </w:rPr>
        <w:tab/>
        <w:t>Diese Reaktion funktioniert nur, solange Elektronen zugeführt werden. In der Brennstoffzelle reagieren Sauerstoff und Wasserstoff miteinander zu Wasser unter Freisetzung von elektrischer Energie.</w:t>
      </w:r>
    </w:p>
    <w:p w:rsidR="008D4846" w:rsidRDefault="008D4846" w:rsidP="008D4846">
      <w:pPr>
        <w:tabs>
          <w:tab w:val="left" w:pos="1701"/>
          <w:tab w:val="left" w:pos="1985"/>
        </w:tabs>
        <w:ind w:left="1980" w:hanging="1980"/>
        <w:rPr>
          <w:color w:val="auto"/>
          <w:vertAlign w:val="subscript"/>
        </w:rPr>
      </w:pPr>
      <w:r>
        <w:rPr>
          <w:color w:val="auto"/>
        </w:rPr>
        <w:tab/>
      </w:r>
      <w:r>
        <w:rPr>
          <w:color w:val="auto"/>
        </w:rPr>
        <w:tab/>
        <w:t>Kathode: O</w:t>
      </w:r>
      <w:r>
        <w:rPr>
          <w:color w:val="auto"/>
          <w:vertAlign w:val="subscript"/>
        </w:rPr>
        <w:t>2 (g)</w:t>
      </w:r>
      <w:r>
        <w:rPr>
          <w:color w:val="auto"/>
        </w:rPr>
        <w:t xml:space="preserve"> + H</w:t>
      </w:r>
      <w:r>
        <w:rPr>
          <w:color w:val="auto"/>
          <w:vertAlign w:val="subscript"/>
        </w:rPr>
        <w:t>2</w:t>
      </w:r>
      <w:r>
        <w:rPr>
          <w:color w:val="auto"/>
        </w:rPr>
        <w:t>O</w:t>
      </w:r>
      <w:r>
        <w:rPr>
          <w:color w:val="auto"/>
          <w:vertAlign w:val="subscript"/>
        </w:rPr>
        <w:t xml:space="preserve"> (l)</w:t>
      </w:r>
      <w:r>
        <w:rPr>
          <w:color w:val="auto"/>
        </w:rPr>
        <w:t xml:space="preserve"> + 4 e</w:t>
      </w:r>
      <w:r>
        <w:rPr>
          <w:color w:val="auto"/>
          <w:vertAlign w:val="superscript"/>
        </w:rPr>
        <w:t>-</w:t>
      </w:r>
      <w:r>
        <w:rPr>
          <w:color w:val="auto"/>
        </w:rPr>
        <w:t xml:space="preserve"> </w:t>
      </w:r>
      <w:r>
        <w:rPr>
          <w:rFonts w:ascii="Lucida Sans Unicode" w:hAnsi="Lucida Sans Unicode" w:cs="Lucida Sans Unicode"/>
          <w:color w:val="auto"/>
        </w:rPr>
        <w:t>→</w:t>
      </w:r>
      <w:r>
        <w:rPr>
          <w:color w:val="auto"/>
        </w:rPr>
        <w:t>4 OH</w:t>
      </w:r>
      <w:r>
        <w:rPr>
          <w:color w:val="auto"/>
          <w:vertAlign w:val="superscript"/>
        </w:rPr>
        <w:t xml:space="preserve">- </w:t>
      </w:r>
      <w:r>
        <w:rPr>
          <w:color w:val="auto"/>
          <w:vertAlign w:val="subscript"/>
        </w:rPr>
        <w:t>(</w:t>
      </w:r>
      <w:proofErr w:type="spellStart"/>
      <w:r>
        <w:rPr>
          <w:color w:val="auto"/>
          <w:vertAlign w:val="subscript"/>
        </w:rPr>
        <w:t>aq</w:t>
      </w:r>
      <w:proofErr w:type="spellEnd"/>
      <w:r>
        <w:rPr>
          <w:color w:val="auto"/>
          <w:vertAlign w:val="subscript"/>
        </w:rPr>
        <w:t>)</w:t>
      </w:r>
    </w:p>
    <w:p w:rsidR="008D4846" w:rsidRDefault="008D4846" w:rsidP="008D4846">
      <w:pPr>
        <w:tabs>
          <w:tab w:val="left" w:pos="1701"/>
          <w:tab w:val="left" w:pos="1985"/>
        </w:tabs>
        <w:ind w:left="1980" w:hanging="1980"/>
        <w:rPr>
          <w:color w:val="auto"/>
        </w:rPr>
      </w:pPr>
      <w:r>
        <w:rPr>
          <w:color w:val="auto"/>
          <w:vertAlign w:val="subscript"/>
        </w:rPr>
        <w:tab/>
      </w:r>
      <w:r>
        <w:rPr>
          <w:color w:val="auto"/>
          <w:vertAlign w:val="subscript"/>
        </w:rPr>
        <w:tab/>
      </w:r>
      <w:r>
        <w:rPr>
          <w:color w:val="auto"/>
        </w:rPr>
        <w:t xml:space="preserve">Anode:   </w:t>
      </w:r>
      <w:r w:rsidRPr="00CE0251">
        <w:rPr>
          <w:rFonts w:asciiTheme="majorHAnsi" w:hAnsiTheme="majorHAnsi"/>
          <w:color w:val="auto"/>
        </w:rPr>
        <w:t>H</w:t>
      </w:r>
      <w:r w:rsidRPr="00CE0251">
        <w:rPr>
          <w:rFonts w:asciiTheme="majorHAnsi" w:hAnsiTheme="majorHAnsi"/>
          <w:color w:val="auto"/>
          <w:vertAlign w:val="subscript"/>
        </w:rPr>
        <w:t>2 (g)</w:t>
      </w:r>
      <w:r w:rsidRPr="00CE0251">
        <w:rPr>
          <w:rFonts w:asciiTheme="majorHAnsi" w:hAnsiTheme="majorHAnsi"/>
          <w:color w:val="auto"/>
        </w:rPr>
        <w:t xml:space="preserve"> + 2 OH</w:t>
      </w:r>
      <w:r w:rsidRPr="00CE0251">
        <w:rPr>
          <w:rFonts w:asciiTheme="majorHAnsi" w:hAnsiTheme="majorHAnsi"/>
          <w:color w:val="auto"/>
          <w:vertAlign w:val="superscript"/>
        </w:rPr>
        <w:t>-</w:t>
      </w:r>
      <w:r w:rsidRPr="00CE0251">
        <w:rPr>
          <w:rFonts w:asciiTheme="majorHAnsi" w:hAnsiTheme="majorHAnsi"/>
          <w:color w:val="auto"/>
        </w:rPr>
        <w:t xml:space="preserve"> </w:t>
      </w:r>
      <w:r w:rsidRPr="00CE0251">
        <w:rPr>
          <w:rFonts w:asciiTheme="majorHAnsi" w:hAnsiTheme="majorHAnsi"/>
          <w:color w:val="auto"/>
          <w:vertAlign w:val="subscript"/>
        </w:rPr>
        <w:t>(</w:t>
      </w:r>
      <w:proofErr w:type="spellStart"/>
      <w:r w:rsidRPr="00CE0251">
        <w:rPr>
          <w:rFonts w:asciiTheme="majorHAnsi" w:hAnsiTheme="majorHAnsi"/>
          <w:color w:val="auto"/>
          <w:vertAlign w:val="subscript"/>
        </w:rPr>
        <w:t>aq</w:t>
      </w:r>
      <w:proofErr w:type="spellEnd"/>
      <w:r w:rsidRPr="00CE0251">
        <w:rPr>
          <w:rFonts w:asciiTheme="majorHAnsi" w:hAnsiTheme="majorHAnsi"/>
          <w:color w:val="auto"/>
          <w:vertAlign w:val="subscript"/>
        </w:rPr>
        <w:t xml:space="preserve">) </w:t>
      </w:r>
      <w:r w:rsidRPr="00CE0251">
        <w:rPr>
          <w:rFonts w:ascii="Lucida Sans Unicode" w:hAnsi="Lucida Sans Unicode" w:cs="Lucida Sans Unicode"/>
          <w:color w:val="auto"/>
        </w:rPr>
        <w:t>→</w:t>
      </w:r>
      <w:r w:rsidRPr="00CE0251">
        <w:rPr>
          <w:rFonts w:asciiTheme="majorHAnsi" w:hAnsiTheme="majorHAnsi" w:cs="Lucida Sans Unicode"/>
          <w:color w:val="auto"/>
        </w:rPr>
        <w:t xml:space="preserve"> 2 H</w:t>
      </w:r>
      <w:r w:rsidRPr="00CE0251">
        <w:rPr>
          <w:rFonts w:asciiTheme="majorHAnsi" w:hAnsiTheme="majorHAnsi" w:cs="Lucida Sans Unicode"/>
          <w:color w:val="auto"/>
          <w:vertAlign w:val="subscript"/>
        </w:rPr>
        <w:t>2</w:t>
      </w:r>
      <w:r w:rsidRPr="00CE0251">
        <w:rPr>
          <w:rFonts w:asciiTheme="majorHAnsi" w:hAnsiTheme="majorHAnsi" w:cs="Lucida Sans Unicode"/>
          <w:color w:val="auto"/>
        </w:rPr>
        <w:t xml:space="preserve">O </w:t>
      </w:r>
      <w:r w:rsidRPr="00CE0251">
        <w:rPr>
          <w:rFonts w:asciiTheme="majorHAnsi" w:hAnsiTheme="majorHAnsi" w:cs="Lucida Sans Unicode"/>
          <w:color w:val="auto"/>
          <w:vertAlign w:val="subscript"/>
        </w:rPr>
        <w:t>(l)</w:t>
      </w:r>
      <w:r w:rsidRPr="00CE0251">
        <w:rPr>
          <w:rFonts w:asciiTheme="majorHAnsi" w:hAnsiTheme="majorHAnsi" w:cs="Lucida Sans Unicode"/>
          <w:color w:val="auto"/>
        </w:rPr>
        <w:t xml:space="preserve"> + 2 e</w:t>
      </w:r>
      <w:r w:rsidRPr="00CE0251">
        <w:rPr>
          <w:rFonts w:asciiTheme="majorHAnsi" w:hAnsiTheme="majorHAnsi" w:cs="Lucida Sans Unicode"/>
          <w:color w:val="auto"/>
          <w:vertAlign w:val="superscript"/>
        </w:rPr>
        <w:t>-</w:t>
      </w:r>
      <w:r>
        <w:rPr>
          <w:color w:val="auto"/>
        </w:rPr>
        <w:t xml:space="preserve"> </w:t>
      </w:r>
    </w:p>
    <w:p w:rsidR="008D4846" w:rsidRPr="008C008E" w:rsidRDefault="008D4846" w:rsidP="008D4846">
      <w:pPr>
        <w:tabs>
          <w:tab w:val="left" w:pos="1701"/>
          <w:tab w:val="left" w:pos="1985"/>
        </w:tabs>
        <w:ind w:left="1980" w:hanging="1980"/>
        <w:rPr>
          <w:color w:val="auto"/>
        </w:rPr>
      </w:pPr>
      <w:r>
        <w:rPr>
          <w:color w:val="auto"/>
        </w:rPr>
        <w:tab/>
      </w:r>
      <w:r>
        <w:rPr>
          <w:color w:val="auto"/>
        </w:rPr>
        <w:tab/>
        <w:t xml:space="preserve">Während an der Kathode also Elektronen gebraucht werden, herrscht an der Anode ein Überschuss an Elektronen. Um dieses Gefälle auszugleichen, fließen Elektronen von der Anode zur Kathode. Dieser Elektronenfluss ist der Strom, welcher auch den Motor antreibt. </w:t>
      </w:r>
    </w:p>
    <w:p w:rsidR="008D4846" w:rsidRPr="005D6345" w:rsidRDefault="008D4846" w:rsidP="008D4846">
      <w:pPr>
        <w:tabs>
          <w:tab w:val="left" w:pos="1701"/>
          <w:tab w:val="left" w:pos="1985"/>
        </w:tabs>
        <w:ind w:left="1980" w:hanging="1980"/>
        <w:rPr>
          <w:rFonts w:eastAsiaTheme="minorEastAsia"/>
          <w:color w:val="auto"/>
        </w:rPr>
      </w:pPr>
      <w:r>
        <w:rPr>
          <w:rFonts w:eastAsiaTheme="minorEastAsia"/>
          <w:color w:val="auto"/>
        </w:rPr>
        <w:t>Entsorgung:</w:t>
      </w:r>
      <w:r>
        <w:rPr>
          <w:rFonts w:eastAsiaTheme="minorEastAsia"/>
          <w:color w:val="auto"/>
        </w:rPr>
        <w:tab/>
      </w:r>
      <w:r>
        <w:rPr>
          <w:rFonts w:eastAsiaTheme="minorEastAsia"/>
          <w:color w:val="auto"/>
        </w:rPr>
        <w:tab/>
        <w:t>Übriges Wasser kann in den Abfluss gegeben werden.</w:t>
      </w:r>
    </w:p>
    <w:p w:rsidR="008D4846" w:rsidRPr="005D6345" w:rsidRDefault="008D4846" w:rsidP="008D4846">
      <w:pPr>
        <w:spacing w:line="276" w:lineRule="auto"/>
        <w:ind w:left="1980" w:hanging="1980"/>
        <w:jc w:val="left"/>
        <w:rPr>
          <w:rFonts w:asciiTheme="majorHAnsi" w:hAnsiTheme="majorHAnsi"/>
          <w:b/>
          <w:color w:val="auto"/>
        </w:rPr>
      </w:pPr>
      <w:r w:rsidRPr="005D6345">
        <w:rPr>
          <w:color w:val="auto"/>
        </w:rPr>
        <w:t>Literatur:</w:t>
      </w:r>
      <w:r w:rsidRPr="005D6345">
        <w:rPr>
          <w:color w:val="auto"/>
        </w:rPr>
        <w:tab/>
      </w:r>
      <w:r>
        <w:rPr>
          <w:color w:val="auto"/>
        </w:rPr>
        <w:t>Experimentierkoffer: Hydro-Genius® School/</w:t>
      </w:r>
      <w:proofErr w:type="spellStart"/>
      <w:r>
        <w:rPr>
          <w:color w:val="auto"/>
        </w:rPr>
        <w:t>Teach</w:t>
      </w:r>
      <w:proofErr w:type="spellEnd"/>
      <w:r>
        <w:rPr>
          <w:color w:val="auto"/>
        </w:rPr>
        <w:t xml:space="preserve"> </w:t>
      </w:r>
    </w:p>
    <w:p w:rsidR="008D4846" w:rsidRPr="005D6345" w:rsidRDefault="008D4846" w:rsidP="008D4846">
      <w:pPr>
        <w:tabs>
          <w:tab w:val="left" w:pos="1701"/>
          <w:tab w:val="left" w:pos="1985"/>
        </w:tabs>
        <w:rPr>
          <w:color w:val="auto"/>
        </w:rPr>
      </w:pPr>
    </w:p>
    <w:p w:rsidR="0036078C" w:rsidRDefault="008D4846" w:rsidP="008D4846">
      <w:r w:rsidRPr="006D4FB1">
        <w:rPr>
          <w:color w:val="auto"/>
        </w:rPr>
      </w:r>
      <w:r w:rsidRPr="006D4FB1">
        <w:rPr>
          <w:color w:val="auto"/>
        </w:rPr>
        <w:pict>
          <v:shape id="_x0000_s1026" type="#_x0000_t202" style="width:462.45pt;height:169.05pt;mso-position-horizontal-relative:char;mso-position-vertical-relative:line;mso-width-relative:margin;mso-height-relative:margin" strokecolor="#c0504d" strokeweight="1pt">
            <v:stroke dashstyle="dash"/>
            <v:shadow color="#868686"/>
            <v:textbox style="mso-next-textbox:#_x0000_s1026">
              <w:txbxContent>
                <w:p w:rsidR="008D4846" w:rsidRDefault="008D4846" w:rsidP="008D4846">
                  <w:pPr>
                    <w:rPr>
                      <w:color w:val="auto"/>
                    </w:rPr>
                  </w:pPr>
                  <w:r>
                    <w:rPr>
                      <w:color w:val="auto"/>
                    </w:rPr>
                    <w:t xml:space="preserve">Im Anschluss an diesen Versuch sollte man erarbeiten, an welchen Orten Brennstoffzellen zur Speicherung von Energie dienen und wieso. Dies kann z.B. in Kleingruppen geschehen und die Ergebnisse könnten im Anschluss als Kurzreferate vorgestellt werden. </w:t>
                  </w:r>
                </w:p>
                <w:p w:rsidR="008D4846" w:rsidRPr="009D0199" w:rsidRDefault="008D4846" w:rsidP="008D4846">
                  <w:pPr>
                    <w:rPr>
                      <w:color w:val="auto"/>
                    </w:rPr>
                  </w:pPr>
                  <w:r>
                    <w:rPr>
                      <w:color w:val="auto"/>
                    </w:rPr>
                    <w:t>Sollten solche Koffer nicht zur Verfügung stehen (was aufgrund der Kosten sehr wahrschei</w:t>
                  </w:r>
                  <w:r>
                    <w:rPr>
                      <w:color w:val="auto"/>
                    </w:rPr>
                    <w:t>n</w:t>
                  </w:r>
                  <w:r>
                    <w:rPr>
                      <w:color w:val="auto"/>
                    </w:rPr>
                    <w:t>lich ist), so lässt sich ein ähnlicher Versuchsaufbau auch von den SuS selbst gestalten. Hierzu könnten einzelne Gruppen je einen Teil der Apparatur aufbauen. Allerdings muss eine ausre</w:t>
                  </w:r>
                  <w:r>
                    <w:rPr>
                      <w:color w:val="auto"/>
                    </w:rPr>
                    <w:t>i</w:t>
                  </w:r>
                  <w:r>
                    <w:rPr>
                      <w:color w:val="auto"/>
                    </w:rPr>
                    <w:t xml:space="preserve">chende Anzahl an Solarzellen vorhanden sein. Alternativ kann auch nur ein Versuchsaufbau auf dem Lehrertisch aufgebaut werden. Dieser könnte dennoch von den SuS mitgestaltet werden. </w:t>
                  </w:r>
                </w:p>
              </w:txbxContent>
            </v:textbox>
            <w10:wrap type="none"/>
            <w10:anchorlock/>
          </v:shape>
        </w:pict>
      </w:r>
    </w:p>
    <w:sectPr w:rsidR="0036078C" w:rsidSect="003607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D4846"/>
    <w:rsid w:val="0036078C"/>
    <w:rsid w:val="008D4846"/>
    <w:rsid w:val="00EF0D6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4846"/>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8D4846"/>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8D4846"/>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8D4846"/>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8D4846"/>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8D4846"/>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8D4846"/>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8D4846"/>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8D4846"/>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8D4846"/>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4846"/>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8D4846"/>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8D4846"/>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8D4846"/>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8D4846"/>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8D4846"/>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8D4846"/>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8D4846"/>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D4846"/>
    <w:rPr>
      <w:rFonts w:ascii="Cambria" w:eastAsia="Times New Roman" w:hAnsi="Cambria" w:cs="Times New Roman"/>
      <w:i/>
      <w:iCs/>
      <w:color w:val="404040"/>
      <w:sz w:val="20"/>
      <w:szCs w:val="20"/>
    </w:rPr>
  </w:style>
  <w:style w:type="paragraph" w:styleId="Sprechblasentext">
    <w:name w:val="Balloon Text"/>
    <w:basedOn w:val="Standard"/>
    <w:link w:val="SprechblasentextZchn"/>
    <w:uiPriority w:val="99"/>
    <w:semiHidden/>
    <w:unhideWhenUsed/>
    <w:rsid w:val="008D48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4846"/>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1474</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2013-08-12T20:03:00Z</dcterms:created>
  <dcterms:modified xsi:type="dcterms:W3CDTF">2013-08-12T20:04:00Z</dcterms:modified>
</cp:coreProperties>
</file>