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B2C" w:rsidRDefault="00736B2C" w:rsidP="00736B2C">
      <w:pPr>
        <w:pStyle w:val="berschrift1"/>
        <w:numPr>
          <w:ilvl w:val="0"/>
          <w:numId w:val="0"/>
        </w:numPr>
        <w:ind w:left="431" w:hanging="431"/>
      </w:pPr>
      <w:bookmarkStart w:id="0" w:name="_Toc364197291"/>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617855</wp:posOffset>
                </wp:positionV>
                <wp:extent cx="5873115" cy="784860"/>
                <wp:effectExtent l="13335" t="7620" r="9525" b="762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48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6B2C" w:rsidRPr="001426FA" w:rsidRDefault="00736B2C" w:rsidP="00736B2C">
                            <w:pPr>
                              <w:rPr>
                                <w:color w:val="000000" w:themeColor="text1"/>
                              </w:rPr>
                            </w:pPr>
                            <w:r>
                              <w:rPr>
                                <w:color w:val="000000" w:themeColor="text1"/>
                              </w:rPr>
                              <w:t>In diesem Versuch werden die unterschiedlichen Reaktivitäten von Calcium und Magnesium mit Wasser gezeigt. Die SuS sollten bereits mit dem erweiterten Redoxbegriff vertraut sein und in der Lage sein Reaktionsgleichungen aufzustellen.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7pt;margin-top:48.65pt;width:462.45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" fillcolor="white [3201]" strokecolor="#4bacc6 [3208]" strokeweight="1pt">
                <v:stroke dashstyle="dash"/>
                <v:shadow color="#868686"/>
                <v:textbox>
                  <w:txbxContent>
                    <w:p w:rsidR="00736B2C" w:rsidRPr="001426FA" w:rsidRDefault="00736B2C" w:rsidP="00736B2C">
                      <w:pPr>
                        <w:rPr>
                          <w:color w:val="000000" w:themeColor="text1"/>
                        </w:rPr>
                      </w:pPr>
                      <w:r>
                        <w:rPr>
                          <w:color w:val="000000" w:themeColor="text1"/>
                        </w:rPr>
                        <w:t>In diesem Versuch werden die unterschiedlichen Reaktivitäten von Calcium und Magnesium mit Wasser gezeigt. Die SuS sollten bereits mit dem erweiterten Redoxbegriff vertraut sein und in der Lage sein Reaktionsgleichungen aufzustellen.</w:t>
                      </w:r>
                    </w:p>
                  </w:txbxContent>
                </v:textbox>
                <w10:wrap type="square"/>
              </v:shape>
            </w:pict>
          </mc:Fallback>
        </mc:AlternateContent>
      </w:r>
      <w:r>
        <w:t>V5 – Reaktion von Magnesium und Calcium mit Wasser</w:t>
      </w:r>
      <w:bookmarkEnd w:id="0"/>
      <w:r>
        <w:t xml:space="preserve"> </w:t>
      </w:r>
    </w:p>
    <w:p w:rsidR="00736B2C" w:rsidRPr="00DF0A06" w:rsidRDefault="00736B2C" w:rsidP="00736B2C"/>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36B2C" w:rsidRPr="009C5E28" w:rsidTr="00B92168">
        <w:tc>
          <w:tcPr>
            <w:tcW w:w="9322" w:type="dxa"/>
            <w:gridSpan w:val="9"/>
            <w:shd w:val="clear" w:color="auto" w:fill="4F81BD"/>
            <w:vAlign w:val="center"/>
          </w:tcPr>
          <w:p w:rsidR="00736B2C" w:rsidRPr="009C5E28" w:rsidRDefault="00736B2C" w:rsidP="00B92168">
            <w:pPr>
              <w:spacing w:after="0"/>
              <w:jc w:val="center"/>
              <w:rPr>
                <w:b/>
                <w:bCs/>
              </w:rPr>
            </w:pPr>
            <w:r w:rsidRPr="009C5E28">
              <w:rPr>
                <w:b/>
                <w:bCs/>
              </w:rPr>
              <w:t>Gefahrenstoffe</w:t>
            </w:r>
          </w:p>
        </w:tc>
      </w:tr>
      <w:tr w:rsidR="00736B2C" w:rsidRPr="009C5E28" w:rsidTr="00B92168">
        <w:tc>
          <w:tcPr>
            <w:tcW w:w="3027" w:type="dxa"/>
            <w:gridSpan w:val="3"/>
            <w:tcBorders>
              <w:top w:val="single" w:sz="8" w:space="0" w:color="4F81BD"/>
              <w:left w:val="single" w:sz="8" w:space="0" w:color="4F81BD"/>
              <w:bottom w:val="single" w:sz="8" w:space="0" w:color="4F81BD"/>
            </w:tcBorders>
            <w:shd w:val="clear" w:color="auto" w:fill="auto"/>
            <w:vAlign w:val="center"/>
          </w:tcPr>
          <w:p w:rsidR="00736B2C" w:rsidRPr="009C5E28" w:rsidRDefault="00736B2C" w:rsidP="00B92168">
            <w:pPr>
              <w:spacing w:after="0"/>
              <w:jc w:val="center"/>
              <w:rPr>
                <w:bCs/>
              </w:rPr>
            </w:pPr>
            <w:r>
              <w:rPr>
                <w:bCs/>
              </w:rPr>
              <w:t>Magnesiumband</w:t>
            </w:r>
          </w:p>
        </w:tc>
        <w:tc>
          <w:tcPr>
            <w:tcW w:w="3177" w:type="dxa"/>
            <w:gridSpan w:val="3"/>
            <w:tcBorders>
              <w:top w:val="single" w:sz="8" w:space="0" w:color="4F81BD"/>
              <w:bottom w:val="single" w:sz="8" w:space="0" w:color="4F81BD"/>
            </w:tcBorders>
            <w:shd w:val="clear" w:color="auto" w:fill="auto"/>
            <w:vAlign w:val="center"/>
          </w:tcPr>
          <w:p w:rsidR="00736B2C" w:rsidRPr="009C5E28" w:rsidRDefault="00736B2C" w:rsidP="00B92168">
            <w:pPr>
              <w:spacing w:after="0"/>
              <w:jc w:val="center"/>
            </w:pPr>
            <w:r>
              <w:rPr>
                <w:color w:val="auto"/>
                <w:sz w:val="20"/>
              </w:rPr>
              <w:t>H: 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36B2C" w:rsidRPr="009C5E28" w:rsidRDefault="00736B2C" w:rsidP="00B92168">
            <w:pPr>
              <w:spacing w:after="0"/>
              <w:jc w:val="center"/>
            </w:pPr>
            <w:r w:rsidRPr="009C5E28">
              <w:rPr>
                <w:color w:val="auto"/>
                <w:sz w:val="20"/>
              </w:rPr>
              <w:t>P</w:t>
            </w:r>
            <w:r>
              <w:rPr>
                <w:color w:val="auto"/>
                <w:sz w:val="20"/>
              </w:rPr>
              <w:t>: 210-231+232-241-280-420-501</w:t>
            </w:r>
          </w:p>
        </w:tc>
      </w:tr>
      <w:tr w:rsidR="00736B2C" w:rsidRPr="009C5E28" w:rsidTr="00B92168">
        <w:tc>
          <w:tcPr>
            <w:tcW w:w="3027" w:type="dxa"/>
            <w:gridSpan w:val="3"/>
            <w:tcBorders>
              <w:top w:val="single" w:sz="8" w:space="0" w:color="4F81BD"/>
              <w:left w:val="single" w:sz="8" w:space="0" w:color="4F81BD"/>
              <w:bottom w:val="single" w:sz="8" w:space="0" w:color="4F81BD"/>
            </w:tcBorders>
            <w:shd w:val="clear" w:color="auto" w:fill="auto"/>
            <w:vAlign w:val="center"/>
          </w:tcPr>
          <w:p w:rsidR="00736B2C" w:rsidRDefault="00736B2C" w:rsidP="00B92168">
            <w:pPr>
              <w:spacing w:after="0"/>
              <w:jc w:val="center"/>
              <w:rPr>
                <w:bCs/>
              </w:rPr>
            </w:pPr>
            <w:r>
              <w:rPr>
                <w:bCs/>
              </w:rPr>
              <w:t>Calciumspäne</w:t>
            </w:r>
          </w:p>
        </w:tc>
        <w:tc>
          <w:tcPr>
            <w:tcW w:w="3177" w:type="dxa"/>
            <w:gridSpan w:val="3"/>
            <w:tcBorders>
              <w:top w:val="single" w:sz="8" w:space="0" w:color="4F81BD"/>
              <w:bottom w:val="single" w:sz="8" w:space="0" w:color="4F81BD"/>
            </w:tcBorders>
            <w:shd w:val="clear" w:color="auto" w:fill="auto"/>
            <w:vAlign w:val="center"/>
          </w:tcPr>
          <w:p w:rsidR="00736B2C" w:rsidRPr="009C5E28" w:rsidRDefault="00736B2C" w:rsidP="00B92168">
            <w:pPr>
              <w:spacing w:after="0"/>
              <w:jc w:val="center"/>
              <w:rPr>
                <w:color w:val="auto"/>
                <w:sz w:val="20"/>
              </w:rPr>
            </w:pPr>
            <w:r>
              <w:rPr>
                <w:color w:val="auto"/>
                <w:sz w:val="20"/>
              </w:rPr>
              <w:t>H: 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36B2C" w:rsidRPr="009C5E28" w:rsidRDefault="00736B2C" w:rsidP="00B92168">
            <w:pPr>
              <w:spacing w:after="0"/>
              <w:jc w:val="center"/>
              <w:rPr>
                <w:color w:val="auto"/>
                <w:sz w:val="20"/>
              </w:rPr>
            </w:pPr>
            <w:r>
              <w:rPr>
                <w:color w:val="auto"/>
                <w:sz w:val="20"/>
              </w:rPr>
              <w:t>P: 223-232-501-402+404</w:t>
            </w:r>
          </w:p>
        </w:tc>
      </w:tr>
      <w:tr w:rsidR="00736B2C" w:rsidRPr="009C5E28" w:rsidTr="00B92168">
        <w:tc>
          <w:tcPr>
            <w:tcW w:w="3027" w:type="dxa"/>
            <w:gridSpan w:val="3"/>
            <w:tcBorders>
              <w:top w:val="single" w:sz="8" w:space="0" w:color="4F81BD"/>
              <w:left w:val="single" w:sz="8" w:space="0" w:color="4F81BD"/>
              <w:bottom w:val="single" w:sz="8" w:space="0" w:color="4F81BD"/>
            </w:tcBorders>
            <w:shd w:val="clear" w:color="auto" w:fill="auto"/>
            <w:vAlign w:val="center"/>
          </w:tcPr>
          <w:p w:rsidR="00736B2C" w:rsidRDefault="00736B2C" w:rsidP="00B92168">
            <w:pPr>
              <w:spacing w:after="0"/>
              <w:jc w:val="center"/>
              <w:rPr>
                <w:bCs/>
              </w:rPr>
            </w:pPr>
            <w:r>
              <w:rPr>
                <w:bCs/>
              </w:rPr>
              <w:t>Wasser</w:t>
            </w:r>
          </w:p>
        </w:tc>
        <w:tc>
          <w:tcPr>
            <w:tcW w:w="3177" w:type="dxa"/>
            <w:gridSpan w:val="3"/>
            <w:tcBorders>
              <w:top w:val="single" w:sz="8" w:space="0" w:color="4F81BD"/>
              <w:bottom w:val="single" w:sz="8" w:space="0" w:color="4F81BD"/>
            </w:tcBorders>
            <w:shd w:val="clear" w:color="auto" w:fill="auto"/>
            <w:vAlign w:val="center"/>
          </w:tcPr>
          <w:p w:rsidR="00736B2C" w:rsidRDefault="00736B2C" w:rsidP="00B92168">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36B2C" w:rsidRDefault="00736B2C" w:rsidP="00B92168">
            <w:pPr>
              <w:spacing w:after="0"/>
              <w:jc w:val="center"/>
              <w:rPr>
                <w:color w:val="auto"/>
                <w:sz w:val="20"/>
              </w:rPr>
            </w:pPr>
            <w:r>
              <w:rPr>
                <w:color w:val="auto"/>
                <w:sz w:val="20"/>
              </w:rPr>
              <w:t>P: -</w:t>
            </w:r>
          </w:p>
        </w:tc>
      </w:tr>
      <w:tr w:rsidR="00736B2C" w:rsidRPr="009C5E28" w:rsidTr="00B92168">
        <w:tc>
          <w:tcPr>
            <w:tcW w:w="1009" w:type="dxa"/>
            <w:shd w:val="clear" w:color="auto" w:fill="auto"/>
            <w:vAlign w:val="center"/>
          </w:tcPr>
          <w:p w:rsidR="00736B2C" w:rsidRPr="009C5E28" w:rsidRDefault="00736B2C" w:rsidP="00B92168">
            <w:pPr>
              <w:spacing w:after="0"/>
              <w:jc w:val="center"/>
              <w:rPr>
                <w:b/>
                <w:bCs/>
              </w:rPr>
            </w:pPr>
            <w:r>
              <w:rPr>
                <w:b/>
                <w:noProof/>
                <w:lang w:eastAsia="de-DE"/>
              </w:rPr>
              <w:drawing>
                <wp:inline distT="0" distB="0" distL="0" distR="0" wp14:anchorId="4FB57CB2" wp14:editId="007DA670">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6F66CE22" wp14:editId="55FED813">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2CB441AC" wp14:editId="1A482520">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5CC4F498" wp14:editId="0AE85F5C">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0F9F14BB" wp14:editId="64EB0846">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27A94411" wp14:editId="23A50377">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0C82A40E" wp14:editId="0ADC6CEE">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454B90A5" wp14:editId="7EF8EDE4">
                  <wp:extent cx="511175" cy="51117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736B2C" w:rsidRPr="009C5E28" w:rsidRDefault="00736B2C" w:rsidP="00B92168">
            <w:pPr>
              <w:spacing w:after="0"/>
              <w:jc w:val="center"/>
            </w:pPr>
            <w:r>
              <w:rPr>
                <w:noProof/>
                <w:lang w:eastAsia="de-DE"/>
              </w:rPr>
              <w:drawing>
                <wp:inline distT="0" distB="0" distL="0" distR="0" wp14:anchorId="2ECB4FDF" wp14:editId="48C3E438">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736B2C" w:rsidRDefault="00736B2C" w:rsidP="00736B2C"/>
    <w:p w:rsidR="00736B2C" w:rsidRPr="000E3900" w:rsidRDefault="00736B2C" w:rsidP="00736B2C">
      <w:pPr>
        <w:tabs>
          <w:tab w:val="left" w:pos="1985"/>
        </w:tabs>
        <w:ind w:left="1985" w:hanging="1985"/>
      </w:pPr>
      <w:r>
        <w:t xml:space="preserve">Material: </w:t>
      </w:r>
      <w:r>
        <w:tab/>
        <w:t>2 Reagenzgläser, Reagenzglasständer, Bunsenbrenner, Reagenzglashalter</w:t>
      </w:r>
    </w:p>
    <w:p w:rsidR="00736B2C" w:rsidRPr="000E3900" w:rsidRDefault="00736B2C" w:rsidP="00736B2C">
      <w:pPr>
        <w:tabs>
          <w:tab w:val="left" w:pos="708"/>
          <w:tab w:val="left" w:pos="1416"/>
          <w:tab w:val="left" w:pos="1985"/>
          <w:tab w:val="center" w:pos="4536"/>
        </w:tabs>
      </w:pPr>
      <w:r w:rsidRPr="000E3900">
        <w:t>Chemikalien:</w:t>
      </w:r>
      <w:r w:rsidRPr="000E3900">
        <w:tab/>
      </w:r>
      <w:r w:rsidRPr="000E3900">
        <w:tab/>
      </w:r>
      <w:r>
        <w:t>Magnesiumband, Calciumspäne, Wasser</w:t>
      </w:r>
      <w:r>
        <w:tab/>
      </w:r>
    </w:p>
    <w:p w:rsidR="00736B2C" w:rsidRPr="000E3900" w:rsidRDefault="00736B2C" w:rsidP="00736B2C">
      <w:pPr>
        <w:ind w:left="1985" w:hanging="1985"/>
      </w:pPr>
      <w:r>
        <w:t xml:space="preserve">Durchführung: </w:t>
      </w:r>
      <w:r>
        <w:tab/>
        <w:t>Die zwei Reagenzgläser werden in den Reagenzglasständer gestellt und in das eine ein kleiner Calciumspan und in das andere ein kleines Stück Magnesiumband gegeben. Anschließend wird in jedes Reagenzglas ein wenig Wasser gegeben. Um die Reaktion von dem Wasser mit dem Magnesiumband zu starten, muss über der Bunsenbrennerflamme erhitzt werden.</w:t>
      </w:r>
    </w:p>
    <w:p w:rsidR="00736B2C" w:rsidRDefault="00736B2C" w:rsidP="00736B2C">
      <w:pPr>
        <w:tabs>
          <w:tab w:val="left" w:pos="2037"/>
        </w:tabs>
        <w:ind w:left="1985" w:hanging="1985"/>
      </w:pPr>
      <w:r>
        <w:t>Beobachtung:</w:t>
      </w:r>
      <w:r>
        <w:tab/>
        <w:t xml:space="preserve">Calcium reagiert unter heftiger Gasbildung mit dem Wasser, welches eine weiße Trübung verursacht. Nachdem das Reagenzglas mit dem Wasser und dem Magnesiumband erhitzt wurde, ist eine Gasentwicklung am Magnesiumband zu beobachten. </w:t>
      </w:r>
    </w:p>
    <w:p w:rsidR="00736B2C" w:rsidRDefault="00736B2C" w:rsidP="00736B2C">
      <w:pPr>
        <w:jc w:val="center"/>
      </w:pPr>
      <w:r>
        <w:rPr>
          <w:noProof/>
          <w:lang w:eastAsia="de-DE"/>
        </w:rPr>
        <w:lastRenderedPageBreak/>
        <w:drawing>
          <wp:inline distT="0" distB="0" distL="0" distR="0" wp14:anchorId="1E1719C1" wp14:editId="7743B9AE">
            <wp:extent cx="3420369" cy="2565276"/>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na\Pictures\SVP\Klasse7_8\IMG_7966.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20369" cy="2565276"/>
                    </a:xfrm>
                    <a:prstGeom prst="rect">
                      <a:avLst/>
                    </a:prstGeom>
                    <a:noFill/>
                    <a:ln>
                      <a:noFill/>
                    </a:ln>
                  </pic:spPr>
                </pic:pic>
              </a:graphicData>
            </a:graphic>
          </wp:inline>
        </w:drawing>
      </w:r>
    </w:p>
    <w:p w:rsidR="00736B2C" w:rsidRPr="00BC63B8" w:rsidRDefault="00736B2C" w:rsidP="00736B2C">
      <w:pPr>
        <w:ind w:left="1985" w:hanging="2127"/>
        <w:jc w:val="center"/>
        <w:rPr>
          <w:sz w:val="18"/>
          <w:szCs w:val="18"/>
        </w:rPr>
      </w:pPr>
      <w:r>
        <w:rPr>
          <w:sz w:val="18"/>
          <w:szCs w:val="18"/>
        </w:rPr>
        <w:t>Abb. 5: Reaktion von Wasser mit Calcium (links) und mit Magnesium (rechts).</w:t>
      </w:r>
    </w:p>
    <w:p w:rsidR="00736B2C" w:rsidRDefault="00736B2C" w:rsidP="00736B2C">
      <w:pPr>
        <w:tabs>
          <w:tab w:val="left" w:pos="1985"/>
        </w:tabs>
        <w:ind w:left="1985" w:hanging="1985"/>
      </w:pPr>
      <w:r>
        <w:t>Deutung:</w:t>
      </w:r>
      <w:r>
        <w:tab/>
        <w:t>Durch die Reaktion von den unedlen Erdalkalimetallen mit Wasser wird dieses zersetzt. Es entsteht das Erdalkalimetallhydroxid und Wasserstoff. Beispielreaktion:</w:t>
      </w:r>
    </w:p>
    <w:p w:rsidR="00736B2C" w:rsidRDefault="00736B2C" w:rsidP="00736B2C">
      <w:pPr>
        <w:tabs>
          <w:tab w:val="left" w:pos="1985"/>
        </w:tabs>
        <w:ind w:left="1985" w:hanging="1985"/>
        <w:jc w:val="center"/>
      </w:pPr>
      <w:r>
        <w:t>Ca</w:t>
      </w:r>
      <w:r w:rsidRPr="007D08ED">
        <w:rPr>
          <w:vertAlign w:val="subscript"/>
        </w:rPr>
        <w:t>(s)</w:t>
      </w:r>
      <w:r>
        <w:t xml:space="preserve"> + 2 H</w:t>
      </w:r>
      <w:r w:rsidRPr="007D08ED">
        <w:rPr>
          <w:vertAlign w:val="subscript"/>
        </w:rPr>
        <w:t>2</w:t>
      </w:r>
      <w:r>
        <w:t>O</w:t>
      </w:r>
      <w:r>
        <w:rPr>
          <w:vertAlign w:val="subscript"/>
        </w:rPr>
        <w:t>(l)</w:t>
      </w:r>
      <w:r>
        <w:t xml:space="preserve"> ⟶ Ca(OH)</w:t>
      </w:r>
      <w:r w:rsidRPr="007D08ED">
        <w:rPr>
          <w:vertAlign w:val="subscript"/>
        </w:rPr>
        <w:t>2(s)</w:t>
      </w:r>
      <w:r>
        <w:t xml:space="preserve"> + H</w:t>
      </w:r>
      <w:r w:rsidRPr="007D08ED">
        <w:rPr>
          <w:vertAlign w:val="subscript"/>
        </w:rPr>
        <w:t>2</w:t>
      </w:r>
      <w:r>
        <w:rPr>
          <w:vertAlign w:val="subscript"/>
        </w:rPr>
        <w:t>(g )</w:t>
      </w:r>
      <w:r>
        <w:t>↑</w:t>
      </w:r>
    </w:p>
    <w:p w:rsidR="00736B2C" w:rsidRPr="007D08ED" w:rsidRDefault="00736B2C" w:rsidP="00736B2C">
      <w:pPr>
        <w:tabs>
          <w:tab w:val="left" w:pos="1985"/>
        </w:tabs>
        <w:ind w:left="1985" w:hanging="1985"/>
      </w:pPr>
      <w:r>
        <w:tab/>
        <w:t>Des Weiteren kann festgehalten werden, dass Calcium unter normalen Bedingungen heftiger mit Wasser reagiert.</w:t>
      </w:r>
    </w:p>
    <w:p w:rsidR="00736B2C" w:rsidRDefault="00736B2C" w:rsidP="00736B2C">
      <w:pPr>
        <w:tabs>
          <w:tab w:val="left" w:pos="1701"/>
          <w:tab w:val="left" w:pos="1985"/>
        </w:tabs>
        <w:ind w:left="1985" w:hanging="1985"/>
        <w:rPr>
          <w:rFonts w:eastAsiaTheme="minorEastAsia"/>
        </w:rPr>
      </w:pPr>
      <w:r>
        <w:t xml:space="preserve">Entsorgung: </w:t>
      </w:r>
      <w:r>
        <w:tab/>
      </w:r>
      <w:r>
        <w:tab/>
        <w:t>Feststoffe werden in dem Behälter für anorganische Feststoffe entsorgt, die Lösungen werden in den Säure-Base-Behälter gegeben.</w:t>
      </w:r>
    </w:p>
    <w:p w:rsidR="00736B2C" w:rsidRPr="00CC26CE" w:rsidRDefault="00736B2C" w:rsidP="00736B2C">
      <w:pPr>
        <w:ind w:left="1985" w:hanging="1985"/>
        <w:jc w:val="left"/>
      </w:pPr>
      <w:r>
        <w:t>Literatur:</w:t>
      </w:r>
      <w:r>
        <w:tab/>
        <w:t xml:space="preserve"> K. </w:t>
      </w:r>
      <w:r>
        <w:rPr>
          <w:color w:val="000000" w:themeColor="text1"/>
        </w:rPr>
        <w:t>Häusler, H. Rampf,  R.Reichelt. Experimente für den Chemieunterricht – mit einer Einführung in die Labortechnik, Oldenbourg, 2., korrigierte und verbesserte Auflage 1995, S. 129.</w:t>
      </w:r>
    </w:p>
    <w:p w:rsidR="00736B2C" w:rsidRPr="006E32AF" w:rsidRDefault="00736B2C" w:rsidP="00736B2C">
      <w:pPr>
        <w:tabs>
          <w:tab w:val="left" w:pos="1701"/>
          <w:tab w:val="left" w:pos="1985"/>
        </w:tabs>
        <w:ind w:left="1980" w:hanging="1980"/>
        <w:rPr>
          <w:rFonts w:eastAsiaTheme="minorEastAsia"/>
        </w:rPr>
      </w:pPr>
      <w:r>
        <w:rPr>
          <w:rFonts w:eastAsiaTheme="minorHAnsi"/>
          <w:noProof/>
          <w:lang w:eastAsia="de-DE"/>
        </w:rPr>
        <w:lastRenderedPageBreak/>
        <mc:AlternateContent>
          <mc:Choice Requires="wps">
            <w:drawing>
              <wp:inline distT="0" distB="0" distL="0" distR="0">
                <wp:extent cx="5873115" cy="2966085"/>
                <wp:effectExtent l="13335" t="13335" r="9525" b="11430"/>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96608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6B2C" w:rsidRDefault="00736B2C" w:rsidP="00736B2C">
                            <w:pPr>
                              <w:rPr>
                                <w:color w:val="000000" w:themeColor="text1"/>
                              </w:rPr>
                            </w:pPr>
                            <w:r w:rsidRPr="006105BD">
                              <w:rPr>
                                <w:b/>
                                <w:color w:val="000000" w:themeColor="text1"/>
                              </w:rPr>
                              <w:t>Anmerkung:</w:t>
                            </w:r>
                            <w:r>
                              <w:rPr>
                                <w:color w:val="000000" w:themeColor="text1"/>
                              </w:rPr>
                              <w:t xml:space="preserve"> Achtung! Calcium reagiert unter starker Gasentwicklung mit Wasser, daher möglichst wenig Calcium und Wasser verwenden. </w:t>
                            </w:r>
                          </w:p>
                          <w:p w:rsidR="00736B2C" w:rsidRDefault="00736B2C" w:rsidP="00736B2C">
                            <w:pPr>
                              <w:rPr>
                                <w:color w:val="000000" w:themeColor="text1"/>
                              </w:rPr>
                            </w:pPr>
                            <w:r>
                              <w:rPr>
                                <w:color w:val="000000" w:themeColor="text1"/>
                              </w:rPr>
                              <w:t xml:space="preserve">Die Bildung von Calciumhydroxid verhindert zunehmend die Reaktion von Calcium mit Wasser, d.h. dass die Reaktion möglicherweise irgendwann abbricht. </w:t>
                            </w:r>
                          </w:p>
                          <w:p w:rsidR="00736B2C" w:rsidRPr="00411E7F" w:rsidRDefault="00736B2C" w:rsidP="00736B2C">
                            <w:pPr>
                              <w:rPr>
                                <w:color w:val="000000" w:themeColor="text1"/>
                              </w:rPr>
                            </w:pPr>
                            <w:r>
                              <w:rPr>
                                <w:b/>
                                <w:color w:val="000000" w:themeColor="text1"/>
                              </w:rPr>
                              <w:t xml:space="preserve">Alternative: </w:t>
                            </w:r>
                            <w:r>
                              <w:rPr>
                                <w:color w:val="000000" w:themeColor="text1"/>
                              </w:rPr>
                              <w:t>Der Versuch kann auch statt Wasser mit verdünnter Säure (bspw. Essigsäure) durchgeführt werden, Die unedlen Metalle Magnesium und Calcium zersetzen hierbei die Säurelösung unter heftiger Entwicklung von Wasserstoff (</w:t>
                            </w:r>
                            <w:bookmarkStart w:id="1" w:name="_GoBack"/>
                            <w:r>
                              <w:rPr>
                                <w:color w:val="000000" w:themeColor="text1"/>
                              </w:rPr>
                              <w:t>Knallgasprobe!).</w:t>
                            </w:r>
                          </w:p>
                          <w:p w:rsidR="00736B2C" w:rsidRPr="00F22FF9" w:rsidRDefault="00736B2C" w:rsidP="00736B2C">
                            <w:pPr>
                              <w:rPr>
                                <w:color w:val="000000" w:themeColor="text1"/>
                              </w:rPr>
                            </w:pPr>
                            <w:r>
                              <w:rPr>
                                <w:b/>
                                <w:color w:val="000000" w:themeColor="text1"/>
                              </w:rPr>
                              <w:t>Unterrichtsanschluss</w:t>
                            </w:r>
                            <w:r>
                              <w:rPr>
                                <w:color w:val="000000" w:themeColor="text1"/>
                              </w:rPr>
                              <w:t>: Im Anschluss an diesen Versuch kann sowohl auf die Redoxreihe der Metalle eingegangen werden sowie eine Gruppenanalyse der 2ten Hauptgruppe und ihren Tendenzen in Reaktionen durchgeführt werden.</w:t>
                            </w:r>
                            <w:bookmarkEnd w:id="1"/>
                          </w:p>
                        </w:txbxContent>
                      </wps:txbx>
                      <wps:bodyPr rot="0" vert="horz" wrap="square" lIns="91440" tIns="45720" rIns="91440" bIns="45720" anchor="t" anchorCtr="0" upright="1">
                        <a:noAutofit/>
                      </wps:bodyPr>
                    </wps:wsp>
                  </a:graphicData>
                </a:graphic>
              </wp:inline>
            </w:drawing>
          </mc:Choice>
          <mc:Fallback>
            <w:pict>
              <v:shape id="Textfeld 4" o:spid="_x0000_s1027" type="#_x0000_t202" style="width:462.45pt;height:2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" fillcolor="white [3201]" strokecolor="#c0504d [3205]" strokeweight="1pt">
                <v:stroke dashstyle="dash"/>
                <v:shadow color="#868686"/>
                <v:textbox>
                  <w:txbxContent>
                    <w:p w:rsidR="00736B2C" w:rsidRDefault="00736B2C" w:rsidP="00736B2C">
                      <w:pPr>
                        <w:rPr>
                          <w:color w:val="000000" w:themeColor="text1"/>
                        </w:rPr>
                      </w:pPr>
                      <w:r w:rsidRPr="006105BD">
                        <w:rPr>
                          <w:b/>
                          <w:color w:val="000000" w:themeColor="text1"/>
                        </w:rPr>
                        <w:t>Anmerkung:</w:t>
                      </w:r>
                      <w:r>
                        <w:rPr>
                          <w:color w:val="000000" w:themeColor="text1"/>
                        </w:rPr>
                        <w:t xml:space="preserve"> Achtung! Calcium reagiert unter starker Gasentwicklung mit Wasser, daher möglichst wenig Calcium und Wasser verwenden. </w:t>
                      </w:r>
                    </w:p>
                    <w:p w:rsidR="00736B2C" w:rsidRDefault="00736B2C" w:rsidP="00736B2C">
                      <w:pPr>
                        <w:rPr>
                          <w:color w:val="000000" w:themeColor="text1"/>
                        </w:rPr>
                      </w:pPr>
                      <w:r>
                        <w:rPr>
                          <w:color w:val="000000" w:themeColor="text1"/>
                        </w:rPr>
                        <w:t xml:space="preserve">Die Bildung von Calciumhydroxid verhindert zunehmend die Reaktion von Calcium mit Wasser, d.h. dass die Reaktion möglicherweise irgendwann abbricht. </w:t>
                      </w:r>
                    </w:p>
                    <w:p w:rsidR="00736B2C" w:rsidRPr="00411E7F" w:rsidRDefault="00736B2C" w:rsidP="00736B2C">
                      <w:pPr>
                        <w:rPr>
                          <w:color w:val="000000" w:themeColor="text1"/>
                        </w:rPr>
                      </w:pPr>
                      <w:r>
                        <w:rPr>
                          <w:b/>
                          <w:color w:val="000000" w:themeColor="text1"/>
                        </w:rPr>
                        <w:t xml:space="preserve">Alternative: </w:t>
                      </w:r>
                      <w:r>
                        <w:rPr>
                          <w:color w:val="000000" w:themeColor="text1"/>
                        </w:rPr>
                        <w:t>Der Versuch kann auch statt Wasser mit verdünnter Säure (bspw. Essigsäure) durchgeführt werden, Die unedlen Metalle Magnesium und Calcium zersetzen hierbei die Säurelösung unter heftiger Entwicklung von Wasserstoff (</w:t>
                      </w:r>
                      <w:bookmarkStart w:id="2" w:name="_GoBack"/>
                      <w:r>
                        <w:rPr>
                          <w:color w:val="000000" w:themeColor="text1"/>
                        </w:rPr>
                        <w:t>Knallgasprobe!).</w:t>
                      </w:r>
                    </w:p>
                    <w:p w:rsidR="00736B2C" w:rsidRPr="00F22FF9" w:rsidRDefault="00736B2C" w:rsidP="00736B2C">
                      <w:pPr>
                        <w:rPr>
                          <w:color w:val="000000" w:themeColor="text1"/>
                        </w:rPr>
                      </w:pPr>
                      <w:r>
                        <w:rPr>
                          <w:b/>
                          <w:color w:val="000000" w:themeColor="text1"/>
                        </w:rPr>
                        <w:t>Unterrichtsanschluss</w:t>
                      </w:r>
                      <w:r>
                        <w:rPr>
                          <w:color w:val="000000" w:themeColor="text1"/>
                        </w:rPr>
                        <w:t>: Im Anschluss an diesen Versuch kann sowohl auf die Redoxreihe der Metalle eingegangen werden sowie eine Gruppenanalyse der 2ten Hauptgruppe und ihren Tendenzen in Reaktionen durchgeführt werden.</w:t>
                      </w:r>
                      <w:bookmarkEnd w:id="2"/>
                    </w:p>
                  </w:txbxContent>
                </v:textbox>
                <w10:anchorlock/>
              </v:shape>
            </w:pict>
          </mc:Fallback>
        </mc:AlternateContent>
      </w:r>
    </w:p>
    <w:p w:rsidR="00736B2C" w:rsidRDefault="00736B2C" w:rsidP="00736B2C">
      <w:pPr>
        <w:tabs>
          <w:tab w:val="left" w:pos="1701"/>
          <w:tab w:val="left" w:pos="1985"/>
        </w:tabs>
        <w:rPr>
          <w:color w:val="1F497D" w:themeColor="text2"/>
        </w:rPr>
      </w:pPr>
    </w:p>
    <w:p w:rsidR="00BE6DD9" w:rsidRPr="00736B2C" w:rsidRDefault="00BE6DD9" w:rsidP="00736B2C"/>
    <w:sectPr w:rsidR="00BE6DD9" w:rsidRPr="00736B2C"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0AD" w:rsidRDefault="003670AD" w:rsidP="009524CC">
      <w:pPr>
        <w:spacing w:after="0"/>
      </w:pPr>
      <w:r>
        <w:separator/>
      </w:r>
    </w:p>
  </w:endnote>
  <w:endnote w:type="continuationSeparator" w:id="0">
    <w:p w:rsidR="003670AD" w:rsidRDefault="003670AD"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0AD" w:rsidRDefault="003670AD" w:rsidP="009524CC">
      <w:pPr>
        <w:spacing w:after="0"/>
      </w:pPr>
      <w:r>
        <w:separator/>
      </w:r>
    </w:p>
  </w:footnote>
  <w:footnote w:type="continuationSeparator" w:id="0">
    <w:p w:rsidR="003670AD" w:rsidRDefault="003670AD"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736B2C" w:rsidRPr="00736B2C">
            <w:rPr>
              <w:b/>
              <w:bCs/>
              <w:noProof/>
              <w:sz w:val="20"/>
              <w:szCs w:val="20"/>
            </w:rPr>
            <w:t>V5 – Reaktion von Magnesium und Calcium mit Wasser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736B2C">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0AD"/>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6B2C"/>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0E54"/>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5D54"/>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CCDA8D2-6419-41FD-B421-DF809A39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6CE63-CAA8-4735-836F-298C5390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230</Words>
  <Characters>1456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2</cp:revision>
  <cp:lastPrinted>2012-06-21T19:47:00Z</cp:lastPrinted>
  <dcterms:created xsi:type="dcterms:W3CDTF">2013-08-13T20:54:00Z</dcterms:created>
  <dcterms:modified xsi:type="dcterms:W3CDTF">2013-08-13T20:54:00Z</dcterms:modified>
</cp:coreProperties>
</file>