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59" w:rsidRPr="002A6B0C" w:rsidRDefault="001A7A59" w:rsidP="001A7A59">
      <w:pPr>
        <w:tabs>
          <w:tab w:val="left" w:pos="1701"/>
          <w:tab w:val="left" w:pos="1985"/>
        </w:tabs>
        <w:jc w:val="left"/>
        <w:rPr>
          <w:b/>
          <w:color w:val="1F497D" w:themeColor="text2"/>
        </w:rPr>
      </w:pPr>
      <w:r w:rsidRPr="002A6B0C">
        <w:rPr>
          <w:b/>
          <w:color w:val="1F497D" w:themeColor="text2"/>
        </w:rPr>
        <w:t xml:space="preserve">Klasse: </w:t>
      </w:r>
      <w:r>
        <w:rPr>
          <w:b/>
          <w:color w:val="1F497D" w:themeColor="text2"/>
        </w:rPr>
        <w:t>9</w:t>
      </w:r>
      <w:r w:rsidRPr="002A6B0C">
        <w:rPr>
          <w:b/>
          <w:color w:val="1F497D" w:themeColor="text2"/>
        </w:rPr>
        <w:t>/</w:t>
      </w:r>
      <w:r>
        <w:rPr>
          <w:b/>
          <w:color w:val="1F497D" w:themeColor="text2"/>
        </w:rPr>
        <w:t>10</w:t>
      </w:r>
      <w:r w:rsidRPr="002A6B0C">
        <w:rPr>
          <w:b/>
          <w:color w:val="1F497D" w:themeColor="text2"/>
        </w:rPr>
        <w:t xml:space="preserve">                           Thema: </w:t>
      </w:r>
      <w:r>
        <w:rPr>
          <w:b/>
          <w:color w:val="1F497D" w:themeColor="text2"/>
        </w:rPr>
        <w:t>Erdalkalimetalle</w:t>
      </w:r>
      <w:r w:rsidRPr="002A6B0C">
        <w:rPr>
          <w:b/>
          <w:color w:val="1F497D" w:themeColor="text2"/>
        </w:rPr>
        <w:t xml:space="preserve">                            </w:t>
      </w:r>
    </w:p>
    <w:p w:rsidR="001A7A59" w:rsidRDefault="001A7A59" w:rsidP="001A7A59">
      <w:pPr>
        <w:tabs>
          <w:tab w:val="left" w:pos="1701"/>
          <w:tab w:val="left" w:pos="1985"/>
        </w:tabs>
        <w:jc w:val="left"/>
        <w:rPr>
          <w:b/>
          <w:color w:val="1F497D" w:themeColor="text2"/>
          <w:sz w:val="32"/>
          <w:u w:val="single"/>
        </w:rPr>
      </w:pPr>
      <w:r>
        <w:rPr>
          <w:b/>
          <w:color w:val="1F497D" w:themeColor="text2"/>
          <w:sz w:val="32"/>
          <w:u w:val="single"/>
        </w:rPr>
        <w:t>Reaktion von Calcium und Magnesium mit Wasser</w:t>
      </w:r>
    </w:p>
    <w:p w:rsidR="001A7A59" w:rsidRDefault="001A7A59" w:rsidP="001A7A59">
      <w:r>
        <w:t>Wir haben bereits die Stoffe Magnesium und Calcium kennengelernt und festgestellt, dass sie unterschiedlich in der Bunsenbrennerflamme reagieren. Heute werden wir die Stoffe weiter untersuchen.</w:t>
      </w:r>
    </w:p>
    <w:p w:rsidR="001A7A59" w:rsidRPr="002A6B0C" w:rsidRDefault="001A7A59" w:rsidP="001A7A59">
      <w:pPr>
        <w:tabs>
          <w:tab w:val="left" w:pos="1701"/>
          <w:tab w:val="left" w:pos="1985"/>
        </w:tabs>
        <w:jc w:val="left"/>
        <w:rPr>
          <w:b/>
          <w:sz w:val="24"/>
          <w:szCs w:val="24"/>
        </w:rPr>
      </w:pPr>
      <w:r w:rsidRPr="002A6B0C">
        <w:rPr>
          <w:b/>
          <w:sz w:val="24"/>
          <w:szCs w:val="24"/>
        </w:rPr>
        <w:t>Geräte:</w:t>
      </w:r>
      <w:r>
        <w:rPr>
          <w:b/>
          <w:sz w:val="24"/>
          <w:szCs w:val="24"/>
        </w:rPr>
        <w:t xml:space="preserve">                                                                                     Chemikalien:</w:t>
      </w:r>
    </w:p>
    <w:p w:rsidR="001A7A59" w:rsidRDefault="001A7A59" w:rsidP="001A7A59">
      <w:pPr>
        <w:tabs>
          <w:tab w:val="left" w:pos="1701"/>
          <w:tab w:val="left" w:pos="1985"/>
        </w:tabs>
        <w:spacing w:line="240" w:lineRule="auto"/>
        <w:jc w:val="left"/>
      </w:pPr>
      <w:r>
        <w:t>Reagenzglasständer</w:t>
      </w:r>
      <w:r w:rsidRPr="002A6B0C">
        <w:t xml:space="preserve">                            </w:t>
      </w:r>
      <w:r>
        <w:t xml:space="preserve">                                           Calciumspäne</w:t>
      </w:r>
      <w:r w:rsidRPr="002A6B0C">
        <w:t xml:space="preserve">                                                                                                                                                 </w:t>
      </w:r>
      <w:r>
        <w:t>2 Reagenzgläser</w:t>
      </w:r>
      <w:r w:rsidRPr="002A6B0C">
        <w:t xml:space="preserve">                                               </w:t>
      </w:r>
      <w:r>
        <w:t xml:space="preserve">                               Magnesiumband</w:t>
      </w:r>
      <w:r w:rsidRPr="002A6B0C">
        <w:t xml:space="preserve">                                                                                                 </w:t>
      </w:r>
      <w:r>
        <w:t>1 Pasteurpipette + Saughütchen</w:t>
      </w:r>
      <w:r w:rsidRPr="002A6B0C">
        <w:t xml:space="preserve">  </w:t>
      </w:r>
      <w:r>
        <w:t xml:space="preserve">                                              Wasser                                                                      Bunsenbrenner                                                                                                                                                       Spatel                                                  </w:t>
      </w:r>
      <w:r w:rsidRPr="002A6B0C">
        <w:t xml:space="preserve">              </w:t>
      </w:r>
      <w:r>
        <w:t xml:space="preserve">                                                                                                         Reagenzglashalter</w:t>
      </w:r>
    </w:p>
    <w:p w:rsidR="001A7A59" w:rsidRDefault="001A7A59" w:rsidP="001A7A59">
      <w:pPr>
        <w:tabs>
          <w:tab w:val="left" w:pos="1701"/>
          <w:tab w:val="left" w:pos="1985"/>
        </w:tabs>
        <w:spacing w:line="240" w:lineRule="auto"/>
        <w:jc w:val="left"/>
      </w:pPr>
    </w:p>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A7A59" w:rsidRPr="009C5E28" w:rsidTr="00B92168">
        <w:tc>
          <w:tcPr>
            <w:tcW w:w="9322" w:type="dxa"/>
            <w:gridSpan w:val="9"/>
            <w:shd w:val="clear" w:color="auto" w:fill="4F81BD"/>
            <w:vAlign w:val="center"/>
          </w:tcPr>
          <w:p w:rsidR="001A7A59" w:rsidRPr="009C5E28" w:rsidRDefault="001A7A59" w:rsidP="00B92168">
            <w:pPr>
              <w:spacing w:after="0"/>
              <w:jc w:val="center"/>
              <w:rPr>
                <w:b/>
                <w:bCs/>
              </w:rPr>
            </w:pPr>
            <w:r w:rsidRPr="009C5E28">
              <w:rPr>
                <w:b/>
                <w:bCs/>
              </w:rPr>
              <w:t>Gefahrenstoffe</w:t>
            </w:r>
          </w:p>
        </w:tc>
      </w:tr>
      <w:tr w:rsidR="001A7A59"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1A7A59" w:rsidRPr="009C5E28" w:rsidRDefault="001A7A59" w:rsidP="00B92168">
            <w:pPr>
              <w:spacing w:after="0"/>
              <w:jc w:val="center"/>
              <w:rPr>
                <w:bCs/>
              </w:rPr>
            </w:pPr>
            <w:r>
              <w:rPr>
                <w:bCs/>
              </w:rPr>
              <w:t>Magnesiumband</w:t>
            </w:r>
          </w:p>
        </w:tc>
        <w:tc>
          <w:tcPr>
            <w:tcW w:w="3177" w:type="dxa"/>
            <w:gridSpan w:val="3"/>
            <w:tcBorders>
              <w:top w:val="single" w:sz="8" w:space="0" w:color="4F81BD"/>
              <w:bottom w:val="single" w:sz="8" w:space="0" w:color="4F81BD"/>
            </w:tcBorders>
            <w:shd w:val="clear" w:color="auto" w:fill="auto"/>
            <w:vAlign w:val="center"/>
          </w:tcPr>
          <w:p w:rsidR="001A7A59" w:rsidRPr="009C5E28" w:rsidRDefault="001A7A59" w:rsidP="00B92168">
            <w:pPr>
              <w:spacing w:after="0"/>
              <w:jc w:val="center"/>
            </w:pPr>
            <w:r>
              <w:rPr>
                <w:color w:val="auto"/>
                <w:sz w:val="20"/>
              </w:rPr>
              <w:t>H: 228-251-261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A7A59" w:rsidRPr="009C5E28" w:rsidRDefault="001A7A59" w:rsidP="00B92168">
            <w:pPr>
              <w:spacing w:after="0"/>
              <w:jc w:val="center"/>
            </w:pPr>
            <w:r w:rsidRPr="009C5E28">
              <w:rPr>
                <w:color w:val="auto"/>
                <w:sz w:val="20"/>
              </w:rPr>
              <w:t>P</w:t>
            </w:r>
            <w:r>
              <w:rPr>
                <w:color w:val="auto"/>
                <w:sz w:val="20"/>
              </w:rPr>
              <w:t>: 210-231+232-241-280-420-501</w:t>
            </w:r>
          </w:p>
        </w:tc>
      </w:tr>
      <w:tr w:rsidR="001A7A59"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1A7A59" w:rsidRDefault="001A7A59" w:rsidP="00B92168">
            <w:pPr>
              <w:spacing w:after="0"/>
              <w:jc w:val="center"/>
              <w:rPr>
                <w:bCs/>
              </w:rPr>
            </w:pPr>
            <w:r>
              <w:rPr>
                <w:bCs/>
              </w:rPr>
              <w:t>Calciumspäne</w:t>
            </w:r>
          </w:p>
        </w:tc>
        <w:tc>
          <w:tcPr>
            <w:tcW w:w="3177" w:type="dxa"/>
            <w:gridSpan w:val="3"/>
            <w:tcBorders>
              <w:top w:val="single" w:sz="8" w:space="0" w:color="4F81BD"/>
              <w:bottom w:val="single" w:sz="8" w:space="0" w:color="4F81BD"/>
            </w:tcBorders>
            <w:shd w:val="clear" w:color="auto" w:fill="auto"/>
            <w:vAlign w:val="center"/>
          </w:tcPr>
          <w:p w:rsidR="001A7A59" w:rsidRPr="009C5E28" w:rsidRDefault="001A7A59" w:rsidP="00B92168">
            <w:pPr>
              <w:spacing w:after="0"/>
              <w:jc w:val="center"/>
              <w:rPr>
                <w:color w:val="auto"/>
                <w:sz w:val="20"/>
              </w:rPr>
            </w:pPr>
            <w:r>
              <w:rPr>
                <w:color w:val="auto"/>
                <w:sz w:val="20"/>
              </w:rPr>
              <w:t>H: 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A7A59" w:rsidRPr="009C5E28" w:rsidRDefault="001A7A59" w:rsidP="00B92168">
            <w:pPr>
              <w:spacing w:after="0"/>
              <w:jc w:val="center"/>
              <w:rPr>
                <w:color w:val="auto"/>
                <w:sz w:val="20"/>
              </w:rPr>
            </w:pPr>
            <w:r>
              <w:rPr>
                <w:color w:val="auto"/>
                <w:sz w:val="20"/>
              </w:rPr>
              <w:t>P: 223-232-501-402+404</w:t>
            </w:r>
          </w:p>
        </w:tc>
      </w:tr>
      <w:tr w:rsidR="001A7A59" w:rsidRPr="009C5E28" w:rsidTr="00B92168">
        <w:tc>
          <w:tcPr>
            <w:tcW w:w="1009" w:type="dxa"/>
            <w:shd w:val="clear" w:color="auto" w:fill="auto"/>
            <w:vAlign w:val="center"/>
          </w:tcPr>
          <w:p w:rsidR="001A7A59" w:rsidRPr="009C5E28" w:rsidRDefault="001A7A59" w:rsidP="00B92168">
            <w:pPr>
              <w:spacing w:after="0"/>
              <w:jc w:val="center"/>
              <w:rPr>
                <w:b/>
                <w:bCs/>
              </w:rPr>
            </w:pPr>
            <w:r>
              <w:rPr>
                <w:b/>
                <w:noProof/>
                <w:lang w:eastAsia="de-DE"/>
              </w:rPr>
              <w:drawing>
                <wp:inline distT="0" distB="0" distL="0" distR="0" wp14:anchorId="02065374" wp14:editId="47BC344D">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1A2F396E" wp14:editId="20BAF812">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3FCB8C7A" wp14:editId="7ED8F829">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64B546E9" wp14:editId="196E48F7">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36F1E9EC" wp14:editId="79A7D36E">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366714DA" wp14:editId="2B97CCA2">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799229BB" wp14:editId="7757E4B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01ED3A96" wp14:editId="04ED4FB5">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1A7A59" w:rsidRPr="009C5E28" w:rsidRDefault="001A7A59" w:rsidP="00B92168">
            <w:pPr>
              <w:spacing w:after="0"/>
              <w:jc w:val="center"/>
            </w:pPr>
            <w:r>
              <w:rPr>
                <w:noProof/>
                <w:lang w:eastAsia="de-DE"/>
              </w:rPr>
              <w:drawing>
                <wp:inline distT="0" distB="0" distL="0" distR="0" wp14:anchorId="1F17839D" wp14:editId="6420D2A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1A7A59" w:rsidRDefault="001A7A59" w:rsidP="001A7A59"/>
    <w:p w:rsidR="001A7A59" w:rsidRDefault="001A7A59" w:rsidP="001A7A59">
      <w:pPr>
        <w:rPr>
          <w:b/>
        </w:rPr>
      </w:pPr>
      <w:r>
        <w:rPr>
          <w:b/>
        </w:rPr>
        <w:t>Durchführung:</w:t>
      </w:r>
    </w:p>
    <w:p w:rsidR="001A7A59" w:rsidRDefault="001A7A59" w:rsidP="001A7A59">
      <w:pPr>
        <w:pStyle w:val="Listenabsatz"/>
        <w:numPr>
          <w:ilvl w:val="0"/>
          <w:numId w:val="14"/>
        </w:numPr>
        <w:spacing w:line="276" w:lineRule="auto"/>
      </w:pPr>
      <w:r>
        <w:t xml:space="preserve">Gib in eines der Reagenzgläser mithilfe eines Spatels einen kleinen Calciumspan, in das andere ein kleines Stück Magnesiumband. </w:t>
      </w:r>
    </w:p>
    <w:p w:rsidR="001A7A59" w:rsidRDefault="001A7A59" w:rsidP="001A7A59">
      <w:pPr>
        <w:pStyle w:val="Listenabsatz"/>
        <w:numPr>
          <w:ilvl w:val="0"/>
          <w:numId w:val="14"/>
        </w:numPr>
        <w:spacing w:line="276" w:lineRule="auto"/>
      </w:pPr>
      <w:r>
        <w:t>Tropfe in beide Reagenzgläser mithilfe der Pasteurpipette etwa ein Milliliter Wasser. Notiere deine Beobachtungen!</w:t>
      </w:r>
    </w:p>
    <w:p w:rsidR="001A7A59" w:rsidRDefault="001A7A59" w:rsidP="001A7A59">
      <w:pPr>
        <w:pStyle w:val="Listenabsatz"/>
        <w:numPr>
          <w:ilvl w:val="0"/>
          <w:numId w:val="14"/>
        </w:numPr>
        <w:spacing w:line="276" w:lineRule="auto"/>
      </w:pPr>
      <w:r>
        <w:t>Erhitze nun das Reagenzglas mit dem Magnesiumband. Notiere deine Beobachtungen!</w:t>
      </w:r>
    </w:p>
    <w:p w:rsidR="001A7A59" w:rsidRDefault="001A7A59" w:rsidP="001A7A59">
      <w:pPr>
        <w:rPr>
          <w:b/>
        </w:rPr>
      </w:pPr>
      <w:r>
        <w:rPr>
          <w:b/>
        </w:rPr>
        <w:t>Auswertung:</w:t>
      </w:r>
    </w:p>
    <w:p w:rsidR="001A7A59" w:rsidRDefault="001A7A59" w:rsidP="001A7A59">
      <w:pPr>
        <w:pStyle w:val="Listenabsatz"/>
        <w:numPr>
          <w:ilvl w:val="0"/>
          <w:numId w:val="15"/>
        </w:numPr>
        <w:spacing w:line="276" w:lineRule="auto"/>
      </w:pPr>
      <w:r>
        <w:t>Erkläre deine Beobachtungen. Nutze hierzu ggf. geeignete Quellen.</w:t>
      </w:r>
    </w:p>
    <w:p w:rsidR="001A7A59" w:rsidRDefault="001A7A59" w:rsidP="001A7A59">
      <w:pPr>
        <w:pStyle w:val="Listenabsatz"/>
        <w:numPr>
          <w:ilvl w:val="0"/>
          <w:numId w:val="15"/>
        </w:numPr>
        <w:spacing w:line="276" w:lineRule="auto"/>
      </w:pPr>
      <w:r>
        <w:t>Stelle die Reaktionsgleichungen auf.</w:t>
      </w:r>
    </w:p>
    <w:p w:rsidR="001A7A59" w:rsidRDefault="001A7A59" w:rsidP="001A7A59">
      <w:pPr>
        <w:pStyle w:val="Listenabsatz"/>
        <w:numPr>
          <w:ilvl w:val="0"/>
          <w:numId w:val="15"/>
        </w:numPr>
        <w:spacing w:line="276" w:lineRule="auto"/>
      </w:pPr>
      <w:r>
        <w:t>Stelle eine Hypothese auf was bei der Reaktion von Magnesium und Calcium mit verdünnter Säure passieren könnte?</w:t>
      </w:r>
    </w:p>
    <w:p w:rsidR="001A7A59" w:rsidRDefault="001A7A59" w:rsidP="001A7A59"/>
    <w:p w:rsidR="001A7A59" w:rsidRPr="005240FE" w:rsidRDefault="001A7A59" w:rsidP="001A7A59">
      <w:pPr>
        <w:jc w:val="left"/>
        <w:sectPr w:rsidR="001A7A59" w:rsidRPr="005240FE" w:rsidSect="0049087A">
          <w:headerReference w:type="default" r:id="rId17"/>
          <w:pgSz w:w="11906" w:h="16838"/>
          <w:pgMar w:top="1417" w:right="1417" w:bottom="709" w:left="1417" w:header="708" w:footer="708" w:gutter="0"/>
          <w:pgNumType w:start="0"/>
          <w:cols w:space="708"/>
          <w:docGrid w:linePitch="360"/>
        </w:sectPr>
      </w:pPr>
      <w:r>
        <w:rPr>
          <w:b/>
        </w:rPr>
        <w:t xml:space="preserve">Entsorgung: </w:t>
      </w:r>
      <w:r>
        <w:t xml:space="preserve">Feststoffe werden in dem Behälter für anorganische Feststoffe entsorgt, die Lösungen werden in den Säure-Base-Behälter gegeben. </w:t>
      </w:r>
    </w:p>
    <w:p w:rsidR="001A7A59" w:rsidRDefault="001A7A59" w:rsidP="001A7A59">
      <w:pPr>
        <w:pStyle w:val="berschrift1"/>
        <w:keepNext/>
        <w:keepLines/>
        <w:numPr>
          <w:ilvl w:val="0"/>
          <w:numId w:val="13"/>
        </w:numPr>
        <w:spacing w:before="360" w:after="240"/>
        <w:contextualSpacing w:val="0"/>
      </w:pPr>
      <w:bookmarkStart w:id="0" w:name="_Toc364197292"/>
      <w:r>
        <w:lastRenderedPageBreak/>
        <w:t>Reflexion des Arbeitsblattes</w:t>
      </w:r>
      <w:bookmarkEnd w:id="0"/>
    </w:p>
    <w:p w:rsidR="001A7A59" w:rsidRDefault="001A7A59" w:rsidP="001A7A59">
      <w:r>
        <w:t>Bevor dieser Versuch durchgeführt wird, sollten die Erdalkalimetalle bereits eingeführt worden sein. Auch sollten einige Versuche dazu durchgeführt worden sein, vor allem der Versuch zur Flammenfärbung. Dieser Versuch soll verdeutlichen, dass trotz der Zugehörigkeit zur selben Elementfamilie unterschiedlich stark ausgeprägte Reaktionen mit Wasser stattfinden. Damit Lernen die SuS Unterschiede innerhalb einer Elementfamilie kennen.</w:t>
      </w:r>
    </w:p>
    <w:p w:rsidR="001A7A59" w:rsidRPr="000240C7" w:rsidRDefault="001A7A59" w:rsidP="001A7A59">
      <w:r>
        <w:t>Zur Auswertung sollten die SuS bereits in der Lage sein, Reaktionsgleichungen aufzustellen. Auch sollte den SuS bereits der Säure-Base-Begriff nach Brönsted bekannt sein, um die Aufgabe 3 der Auswertung zu lösen. Für den ersten Teil der Auswertung und der Differenzierung, zwischen den beiden Beobachtungen sollten die SuS wissen, dass manche Reaktionen zur Beschleunigung eine Energiezufuhr benötigen.</w:t>
      </w:r>
    </w:p>
    <w:p w:rsidR="001A7A59" w:rsidRDefault="001A7A59" w:rsidP="001A7A59">
      <w:pPr>
        <w:pStyle w:val="berschrift2"/>
        <w:keepNext/>
        <w:keepLines/>
        <w:numPr>
          <w:ilvl w:val="1"/>
          <w:numId w:val="13"/>
        </w:numPr>
        <w:spacing w:before="200" w:after="200"/>
      </w:pPr>
      <w:bookmarkStart w:id="1" w:name="_Toc364197293"/>
      <w:r>
        <w:t>Erwartungshorizont (Kerncurriculum)</w:t>
      </w:r>
      <w:bookmarkEnd w:id="1"/>
    </w:p>
    <w:p w:rsidR="001A7A59" w:rsidRDefault="001A7A59" w:rsidP="001A7A59">
      <w:r>
        <w:t>Aufgabe 1: Die SuS werten ihre Beobachtungen aus und stellen Vermutungen an. Sie führen eine geeignete Recherche durch, um ihre Hypothesen zu bestätigen.</w:t>
      </w:r>
    </w:p>
    <w:p w:rsidR="001A7A59" w:rsidRDefault="001A7A59" w:rsidP="001A7A59">
      <w:r>
        <w:t>Aufgabe 2: Sie stellen die Reaktionsgleichungen der Reaktionen auf und verknüpfen ihr Wissen über die Stoffe mit den Formelzeichen.</w:t>
      </w:r>
    </w:p>
    <w:p w:rsidR="001A7A59" w:rsidRPr="000D66D4" w:rsidRDefault="001A7A59" w:rsidP="001A7A59">
      <w:r>
        <w:t>Aufgabe 3: Die SuS leisten einen Transfer. Ihr eben erlangtes Wissen über die Reaktion mit Wasser übertragen sie auf die Reaktion mit verdünnter Säure.</w:t>
      </w:r>
    </w:p>
    <w:p w:rsidR="001A7A59" w:rsidRDefault="001A7A59" w:rsidP="001A7A59">
      <w:pPr>
        <w:pStyle w:val="berschrift2"/>
        <w:keepNext/>
        <w:keepLines/>
        <w:numPr>
          <w:ilvl w:val="1"/>
          <w:numId w:val="13"/>
        </w:numPr>
        <w:spacing w:before="200" w:after="200"/>
      </w:pPr>
      <w:bookmarkStart w:id="2" w:name="_Toc364197294"/>
      <w:r>
        <w:t>Erwartungshorizont (Inhaltlich)</w:t>
      </w:r>
      <w:bookmarkEnd w:id="2"/>
    </w:p>
    <w:p w:rsidR="001A7A59" w:rsidRDefault="001A7A59" w:rsidP="001A7A59">
      <w:pPr>
        <w:rPr>
          <w:color w:val="000000" w:themeColor="text1"/>
        </w:rPr>
      </w:pPr>
      <w:r>
        <w:rPr>
          <w:color w:val="000000" w:themeColor="text1"/>
        </w:rPr>
        <w:t>Aufgabe 1: In beiden Fällen ist eine Gasentwicklung zu beobachten. Bei dem Calcium ist die Entwicklung stärker ausgeprägt und die Lösung färbt sich weiß. Mithilfe einer Formelsammlung o.ä. können die SuS recherchieren, welche Stoffe möglichweise entstanden sind. Es entstehen Wasserstoff und Calciumhydroxid bzw. Magnesiumhydroxid.</w:t>
      </w:r>
    </w:p>
    <w:p w:rsidR="001A7A59" w:rsidRDefault="001A7A59" w:rsidP="001A7A59">
      <w:pPr>
        <w:tabs>
          <w:tab w:val="left" w:pos="1985"/>
        </w:tabs>
        <w:jc w:val="left"/>
        <w:rPr>
          <w:color w:val="000000" w:themeColor="text1"/>
        </w:rPr>
      </w:pPr>
      <w:r w:rsidRPr="00672520">
        <w:rPr>
          <w:color w:val="000000" w:themeColor="text1"/>
        </w:rPr>
        <w:t xml:space="preserve">Aufgabe 2:  </w:t>
      </w:r>
    </w:p>
    <w:p w:rsidR="001A7A59" w:rsidRDefault="001A7A59" w:rsidP="001A7A59">
      <w:pPr>
        <w:pStyle w:val="Listenabsatz"/>
        <w:numPr>
          <w:ilvl w:val="0"/>
          <w:numId w:val="16"/>
        </w:numPr>
        <w:tabs>
          <w:tab w:val="left" w:pos="1985"/>
        </w:tabs>
        <w:spacing w:line="276" w:lineRule="auto"/>
        <w:jc w:val="left"/>
      </w:pPr>
      <w:r>
        <w:t>Ca</w:t>
      </w:r>
      <w:r w:rsidRPr="00672520">
        <w:rPr>
          <w:vertAlign w:val="subscript"/>
        </w:rPr>
        <w:t>(s)</w:t>
      </w:r>
      <w:r>
        <w:t xml:space="preserve"> + 2 H</w:t>
      </w:r>
      <w:r w:rsidRPr="00672520">
        <w:rPr>
          <w:vertAlign w:val="subscript"/>
        </w:rPr>
        <w:t>2</w:t>
      </w:r>
      <w:r>
        <w:t>O</w:t>
      </w:r>
      <w:r>
        <w:rPr>
          <w:vertAlign w:val="subscript"/>
        </w:rPr>
        <w:t>(l)</w:t>
      </w:r>
      <w:r>
        <w:t xml:space="preserve"> </w:t>
      </w:r>
      <w:r w:rsidRPr="00672520">
        <w:rPr>
          <w:rFonts w:ascii="Cambria Math" w:hAnsi="Cambria Math" w:cs="Cambria Math"/>
        </w:rPr>
        <w:t>⟶</w:t>
      </w:r>
      <w:r>
        <w:t xml:space="preserve"> Ca(OH)</w:t>
      </w:r>
      <w:r w:rsidRPr="00672520">
        <w:rPr>
          <w:vertAlign w:val="subscript"/>
        </w:rPr>
        <w:t>2(s)</w:t>
      </w:r>
      <w:r>
        <w:t xml:space="preserve"> + H</w:t>
      </w:r>
      <w:r w:rsidRPr="00672520">
        <w:rPr>
          <w:vertAlign w:val="subscript"/>
        </w:rPr>
        <w:t>2(g )</w:t>
      </w:r>
      <w:r>
        <w:t>↑</w:t>
      </w:r>
    </w:p>
    <w:p w:rsidR="001A7A59" w:rsidRDefault="001A7A59" w:rsidP="001A7A59">
      <w:pPr>
        <w:pStyle w:val="Listenabsatz"/>
        <w:numPr>
          <w:ilvl w:val="0"/>
          <w:numId w:val="16"/>
        </w:numPr>
        <w:tabs>
          <w:tab w:val="left" w:pos="1985"/>
        </w:tabs>
        <w:spacing w:line="276" w:lineRule="auto"/>
        <w:jc w:val="left"/>
      </w:pPr>
      <w:r>
        <w:t>Mg</w:t>
      </w:r>
      <w:r>
        <w:rPr>
          <w:vertAlign w:val="subscript"/>
        </w:rPr>
        <w:t xml:space="preserve">(s) </w:t>
      </w:r>
      <w:r>
        <w:t>+ 2 H</w:t>
      </w:r>
      <w:r w:rsidRPr="00672520">
        <w:rPr>
          <w:vertAlign w:val="subscript"/>
        </w:rPr>
        <w:t>2</w:t>
      </w:r>
      <w:r>
        <w:t>O</w:t>
      </w:r>
      <w:r>
        <w:rPr>
          <w:vertAlign w:val="subscript"/>
        </w:rPr>
        <w:t>(l)</w:t>
      </w:r>
      <w:r>
        <w:t xml:space="preserve"> </w:t>
      </w:r>
      <w:r w:rsidRPr="00672520">
        <w:rPr>
          <w:rFonts w:ascii="Cambria Math" w:hAnsi="Cambria Math" w:cs="Cambria Math"/>
        </w:rPr>
        <w:t>⟶</w:t>
      </w:r>
      <w:r>
        <w:t xml:space="preserve"> Mg(OH)</w:t>
      </w:r>
      <w:r w:rsidRPr="00672520">
        <w:rPr>
          <w:vertAlign w:val="subscript"/>
        </w:rPr>
        <w:t>2(s)</w:t>
      </w:r>
      <w:r>
        <w:t xml:space="preserve"> + H</w:t>
      </w:r>
      <w:r w:rsidRPr="00672520">
        <w:rPr>
          <w:vertAlign w:val="subscript"/>
        </w:rPr>
        <w:t>2(g )</w:t>
      </w:r>
      <w:r>
        <w:t>↑</w:t>
      </w:r>
    </w:p>
    <w:p w:rsidR="001A7A59" w:rsidRDefault="001A7A59" w:rsidP="001A7A59">
      <w:pPr>
        <w:jc w:val="left"/>
        <w:rPr>
          <w:color w:val="000000" w:themeColor="text1"/>
        </w:rPr>
      </w:pPr>
      <w:r>
        <w:rPr>
          <w:color w:val="000000" w:themeColor="text1"/>
        </w:rPr>
        <w:t>Aufgabe 3: Es laufen folgender Reaktionen mit verdünnter Säure ab:</w:t>
      </w:r>
    </w:p>
    <w:p w:rsidR="001A7A59" w:rsidRPr="000819B2" w:rsidRDefault="001A7A59" w:rsidP="001A7A59">
      <w:pPr>
        <w:pStyle w:val="Listenabsatz"/>
        <w:numPr>
          <w:ilvl w:val="0"/>
          <w:numId w:val="17"/>
        </w:numPr>
        <w:spacing w:line="276" w:lineRule="auto"/>
        <w:jc w:val="left"/>
        <w:rPr>
          <w:color w:val="000000" w:themeColor="text1"/>
        </w:rPr>
      </w:pPr>
      <w:r>
        <w:rPr>
          <w:color w:val="000000" w:themeColor="text1"/>
        </w:rPr>
        <w:t>Mg</w:t>
      </w:r>
      <w:r>
        <w:rPr>
          <w:color w:val="000000" w:themeColor="text1"/>
          <w:vertAlign w:val="subscript"/>
        </w:rPr>
        <w:t xml:space="preserve">(s) </w:t>
      </w:r>
      <w:r>
        <w:rPr>
          <w:color w:val="000000" w:themeColor="text1"/>
        </w:rPr>
        <w:t>+ 2 H</w:t>
      </w:r>
      <w:r>
        <w:rPr>
          <w:color w:val="000000" w:themeColor="text1"/>
          <w:vertAlign w:val="superscript"/>
        </w:rPr>
        <w:t>+</w:t>
      </w:r>
      <w:r>
        <w:rPr>
          <w:color w:val="000000" w:themeColor="text1"/>
          <w:vertAlign w:val="subscript"/>
        </w:rPr>
        <w:t>(aq)</w:t>
      </w:r>
      <w:r>
        <w:rPr>
          <w:color w:val="000000" w:themeColor="text1"/>
          <w:vertAlign w:val="superscript"/>
        </w:rPr>
        <w:t xml:space="preserve"> </w:t>
      </w:r>
      <w:r>
        <w:rPr>
          <w:color w:val="000000" w:themeColor="text1"/>
        </w:rPr>
        <w:t>⟶ Mg</w:t>
      </w:r>
      <w:r>
        <w:rPr>
          <w:color w:val="000000" w:themeColor="text1"/>
          <w:vertAlign w:val="superscript"/>
        </w:rPr>
        <w:t>2+</w:t>
      </w:r>
      <w:r>
        <w:rPr>
          <w:color w:val="000000" w:themeColor="text1"/>
          <w:vertAlign w:val="subscript"/>
        </w:rPr>
        <w:t>(aq)</w:t>
      </w:r>
      <w:r>
        <w:rPr>
          <w:color w:val="000000" w:themeColor="text1"/>
          <w:vertAlign w:val="superscript"/>
        </w:rPr>
        <w:t xml:space="preserve"> </w:t>
      </w:r>
      <w:r>
        <w:rPr>
          <w:color w:val="000000" w:themeColor="text1"/>
        </w:rPr>
        <w:t>+ H</w:t>
      </w:r>
      <w:r>
        <w:rPr>
          <w:color w:val="000000" w:themeColor="text1"/>
          <w:vertAlign w:val="subscript"/>
        </w:rPr>
        <w:t xml:space="preserve">2(g) </w:t>
      </w:r>
      <w:r>
        <w:t>↑</w:t>
      </w:r>
    </w:p>
    <w:p w:rsidR="001600BF" w:rsidRPr="001A7A59" w:rsidRDefault="001A7A59" w:rsidP="001600BF">
      <w:pPr>
        <w:pStyle w:val="Listenabsatz"/>
        <w:numPr>
          <w:ilvl w:val="0"/>
          <w:numId w:val="17"/>
        </w:numPr>
        <w:spacing w:line="276" w:lineRule="auto"/>
        <w:jc w:val="left"/>
        <w:rPr>
          <w:color w:val="000000" w:themeColor="text1"/>
        </w:rPr>
      </w:pPr>
      <w:r>
        <w:rPr>
          <w:color w:val="000000" w:themeColor="text1"/>
        </w:rPr>
        <w:t>Ca</w:t>
      </w:r>
      <w:r>
        <w:rPr>
          <w:color w:val="000000" w:themeColor="text1"/>
          <w:vertAlign w:val="subscript"/>
        </w:rPr>
        <w:t xml:space="preserve">(s) </w:t>
      </w:r>
      <w:r>
        <w:rPr>
          <w:color w:val="000000" w:themeColor="text1"/>
        </w:rPr>
        <w:t>+ 2 H</w:t>
      </w:r>
      <w:r>
        <w:rPr>
          <w:color w:val="000000" w:themeColor="text1"/>
          <w:vertAlign w:val="superscript"/>
        </w:rPr>
        <w:t>+</w:t>
      </w:r>
      <w:r>
        <w:rPr>
          <w:color w:val="000000" w:themeColor="text1"/>
          <w:vertAlign w:val="subscript"/>
        </w:rPr>
        <w:t>(aq)</w:t>
      </w:r>
      <w:r>
        <w:rPr>
          <w:color w:val="000000" w:themeColor="text1"/>
          <w:vertAlign w:val="superscript"/>
        </w:rPr>
        <w:t xml:space="preserve"> </w:t>
      </w:r>
      <w:r>
        <w:rPr>
          <w:color w:val="000000" w:themeColor="text1"/>
        </w:rPr>
        <w:t>⟶ Ca</w:t>
      </w:r>
      <w:r>
        <w:rPr>
          <w:color w:val="000000" w:themeColor="text1"/>
          <w:vertAlign w:val="superscript"/>
        </w:rPr>
        <w:t>2+</w:t>
      </w:r>
      <w:r>
        <w:rPr>
          <w:color w:val="000000" w:themeColor="text1"/>
          <w:vertAlign w:val="subscript"/>
        </w:rPr>
        <w:t>(aq)</w:t>
      </w:r>
      <w:r>
        <w:rPr>
          <w:color w:val="000000" w:themeColor="text1"/>
          <w:vertAlign w:val="superscript"/>
        </w:rPr>
        <w:t xml:space="preserve"> </w:t>
      </w:r>
      <w:r>
        <w:rPr>
          <w:color w:val="000000" w:themeColor="text1"/>
        </w:rPr>
        <w:t>+ H</w:t>
      </w:r>
      <w:r>
        <w:rPr>
          <w:color w:val="000000" w:themeColor="text1"/>
          <w:vertAlign w:val="subscript"/>
        </w:rPr>
        <w:t xml:space="preserve">2(g) </w:t>
      </w:r>
      <w:r>
        <w:t>↑</w:t>
      </w:r>
      <w:bookmarkStart w:id="3" w:name="_GoBack"/>
      <w:bookmarkEnd w:id="3"/>
    </w:p>
    <w:sectPr w:rsidR="001600BF" w:rsidRPr="001A7A59"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6B" w:rsidRDefault="001B476B" w:rsidP="009524CC">
      <w:pPr>
        <w:spacing w:after="0"/>
      </w:pPr>
      <w:r>
        <w:separator/>
      </w:r>
    </w:p>
  </w:endnote>
  <w:endnote w:type="continuationSeparator" w:id="0">
    <w:p w:rsidR="001B476B" w:rsidRDefault="001B47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6B" w:rsidRDefault="001B476B" w:rsidP="009524CC">
      <w:pPr>
        <w:spacing w:after="0"/>
      </w:pPr>
      <w:r>
        <w:separator/>
      </w:r>
    </w:p>
  </w:footnote>
  <w:footnote w:type="continuationSeparator" w:id="0">
    <w:p w:rsidR="001B476B" w:rsidRDefault="001B47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Content>
      <w:p w:rsidR="001A7A59" w:rsidRPr="00337B69" w:rsidRDefault="001A7A59"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1A7A59" w:rsidRPr="001A7A59">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1A7A59">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CD2DE2"/>
    <w:multiLevelType w:val="hybridMultilevel"/>
    <w:tmpl w:val="C5F25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D9540CF"/>
    <w:multiLevelType w:val="hybridMultilevel"/>
    <w:tmpl w:val="037E78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15384146"/>
    <w:multiLevelType w:val="hybridMultilevel"/>
    <w:tmpl w:val="82ECF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9F32303"/>
    <w:multiLevelType w:val="hybridMultilevel"/>
    <w:tmpl w:val="A09E6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5">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0"/>
  </w:num>
  <w:num w:numId="4">
    <w:abstractNumId w:val="13"/>
  </w:num>
  <w:num w:numId="5">
    <w:abstractNumId w:val="8"/>
  </w:num>
  <w:num w:numId="6">
    <w:abstractNumId w:val="15"/>
  </w:num>
  <w:num w:numId="7">
    <w:abstractNumId w:val="12"/>
  </w:num>
  <w:num w:numId="8">
    <w:abstractNumId w:val="2"/>
  </w:num>
  <w:num w:numId="9">
    <w:abstractNumId w:val="4"/>
  </w:num>
  <w:num w:numId="10">
    <w:abstractNumId w:val="6"/>
  </w:num>
  <w:num w:numId="11">
    <w:abstractNumId w:val="7"/>
  </w:num>
  <w:num w:numId="12">
    <w:abstractNumId w:val="11"/>
  </w:num>
  <w:num w:numId="13">
    <w:abstractNumId w:val="9"/>
  </w:num>
  <w:num w:numId="14">
    <w:abstractNumId w:val="5"/>
  </w:num>
  <w:num w:numId="15">
    <w:abstractNumId w:val="3"/>
  </w:num>
  <w:num w:numId="16">
    <w:abstractNumId w:val="10"/>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0BF"/>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A59"/>
    <w:rsid w:val="001A7B02"/>
    <w:rsid w:val="001A7EE9"/>
    <w:rsid w:val="001B0523"/>
    <w:rsid w:val="001B08C0"/>
    <w:rsid w:val="001B0CBD"/>
    <w:rsid w:val="001B1A06"/>
    <w:rsid w:val="001B1D87"/>
    <w:rsid w:val="001B20F3"/>
    <w:rsid w:val="001B259F"/>
    <w:rsid w:val="001B299B"/>
    <w:rsid w:val="001B2C21"/>
    <w:rsid w:val="001B3787"/>
    <w:rsid w:val="001B3DB6"/>
    <w:rsid w:val="001B476B"/>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0A0"/>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991"/>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26"/>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FB4329-CCC5-41BA-99F1-13CE8B40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33554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84725606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BD08-40CF-4F4A-9051-22B242EE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2013-07-10T10:59:00Z</dcterms:created>
  <dcterms:modified xsi:type="dcterms:W3CDTF">2013-08-13T20:55:00Z</dcterms:modified>
</cp:coreProperties>
</file>