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E6" w:rsidRPr="006011E6" w:rsidRDefault="006011E6" w:rsidP="006011E6">
      <w:pPr>
        <w:keepNext/>
        <w:keepLines/>
        <w:numPr>
          <w:ilvl w:val="1"/>
          <w:numId w:val="0"/>
        </w:numPr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</w:pPr>
      <w:bookmarkStart w:id="0" w:name="_Toc364093751"/>
      <w:r w:rsidRPr="006011E6">
        <w:rPr>
          <w:rFonts w:asciiTheme="majorHAnsi" w:eastAsiaTheme="majorEastAsia" w:hAnsiTheme="majorHAnsi" w:cstheme="majorBidi"/>
          <w:b/>
          <w:bCs/>
          <w:color w:val="1D1B11" w:themeColor="background2" w:themeShade="1A"/>
          <w:szCs w:val="26"/>
        </w:rPr>
        <w:t>V 1 – Verbrennungsprodukte von Methan und Sauerstoff</w:t>
      </w:r>
      <w:bookmarkEnd w:id="0"/>
    </w:p>
    <w:p w:rsidR="006011E6" w:rsidRPr="006011E6" w:rsidRDefault="006011E6" w:rsidP="006011E6">
      <w:pPr>
        <w:rPr>
          <w:rFonts w:asciiTheme="majorHAnsi" w:hAnsiTheme="majorHAnsi"/>
        </w:rPr>
      </w:pPr>
      <w:r w:rsidRPr="006011E6">
        <w:rPr>
          <w:rFonts w:ascii="Cambria" w:hAnsi="Cambria"/>
          <w:color w:val="1D1B11" w:themeColor="background2" w:themeShade="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6.05pt;margin-top:13.75pt;width:462.45pt;height:63.4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46">
              <w:txbxContent>
                <w:p w:rsidR="006011E6" w:rsidRPr="006011E6" w:rsidRDefault="006011E6" w:rsidP="006011E6">
                  <w:pPr>
                    <w:jc w:val="both"/>
                    <w:rPr>
                      <w:rFonts w:asciiTheme="majorHAnsi" w:hAnsiTheme="majorHAnsi"/>
                    </w:rPr>
                  </w:pPr>
                  <w:r w:rsidRPr="006011E6">
                    <w:rPr>
                      <w:rFonts w:asciiTheme="majorHAnsi" w:hAnsiTheme="majorHAnsi"/>
                    </w:rPr>
                    <w:t>Dieser Versuch kann den SuS verdeutlichen, welche Verbrennungsprodukte entstehen, wenn Methan in Anwesenheit von Sauerstoff verbrennt. Die Nachweisreaktion von Kohlenstoffdioxid durch Kalkwasser sollte den SuS bekannt sein.</w:t>
                  </w:r>
                </w:p>
                <w:p w:rsidR="006011E6" w:rsidRPr="002763BF" w:rsidRDefault="006011E6" w:rsidP="006011E6"/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011E6" w:rsidRPr="006011E6" w:rsidTr="00101E36">
        <w:tc>
          <w:tcPr>
            <w:tcW w:w="9322" w:type="dxa"/>
            <w:gridSpan w:val="9"/>
            <w:shd w:val="clear" w:color="auto" w:fill="4F81BD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  <w:b/>
                <w:bCs/>
              </w:rPr>
            </w:pPr>
            <w:r w:rsidRPr="006011E6">
              <w:rPr>
                <w:rFonts w:asciiTheme="majorHAnsi" w:hAnsiTheme="majorHAnsi"/>
                <w:b/>
                <w:bCs/>
              </w:rPr>
              <w:t>Gefahrenstoffe</w:t>
            </w:r>
          </w:p>
        </w:tc>
      </w:tr>
      <w:tr w:rsidR="006011E6" w:rsidRPr="006011E6" w:rsidTr="00101E3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  <w:b/>
                <w:bCs/>
              </w:rPr>
            </w:pPr>
            <w:r w:rsidRPr="006011E6">
              <w:rPr>
                <w:rFonts w:asciiTheme="majorHAnsi" w:hAnsiTheme="majorHAnsi"/>
              </w:rPr>
              <w:t>Methan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</w:rPr>
              <w:t>H: 220,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</w:rPr>
              <w:t>P: 210, 377, 381, 403</w:t>
            </w:r>
          </w:p>
        </w:tc>
      </w:tr>
      <w:tr w:rsidR="006011E6" w:rsidRPr="006011E6" w:rsidTr="00101E3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  <w:bCs/>
              </w:rPr>
            </w:pPr>
            <w:proofErr w:type="spellStart"/>
            <w:r w:rsidRPr="006011E6">
              <w:rPr>
                <w:rFonts w:asciiTheme="majorHAnsi" w:hAnsiTheme="majorHAnsi"/>
              </w:rPr>
              <w:t>Ca</w:t>
            </w:r>
            <w:proofErr w:type="spellEnd"/>
            <w:r w:rsidRPr="006011E6">
              <w:rPr>
                <w:rFonts w:asciiTheme="majorHAnsi" w:hAnsiTheme="majorHAnsi"/>
              </w:rPr>
              <w:t>(OH)</w:t>
            </w:r>
            <w:r w:rsidRPr="006011E6">
              <w:rPr>
                <w:rFonts w:asciiTheme="majorHAnsi" w:hAnsiTheme="majorHAnsi"/>
                <w:vertAlign w:val="subscript"/>
              </w:rPr>
              <w:t>2(</w:t>
            </w:r>
            <w:proofErr w:type="spellStart"/>
            <w:r w:rsidRPr="006011E6">
              <w:rPr>
                <w:rFonts w:asciiTheme="majorHAnsi" w:hAnsiTheme="majorHAnsi"/>
                <w:vertAlign w:val="subscript"/>
              </w:rPr>
              <w:t>aq</w:t>
            </w:r>
            <w:proofErr w:type="spellEnd"/>
            <w:r w:rsidRPr="006011E6">
              <w:rPr>
                <w:rFonts w:asciiTheme="majorHAnsi" w:hAnsiTheme="majorHAnsi"/>
                <w:vertAlign w:val="subscript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  <w:bCs/>
              </w:rPr>
            </w:pPr>
            <w:r w:rsidRPr="006011E6">
              <w:rPr>
                <w:rFonts w:asciiTheme="majorHAnsi" w:hAnsiTheme="majorHAnsi"/>
                <w:bCs/>
              </w:rPr>
              <w:t>H: 315, 318, 335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011E6" w:rsidRPr="006011E6" w:rsidRDefault="006011E6" w:rsidP="006011E6">
            <w:pPr>
              <w:ind w:left="317" w:hanging="284"/>
              <w:rPr>
                <w:rFonts w:asciiTheme="majorHAnsi" w:hAnsiTheme="majorHAnsi"/>
                <w:bCs/>
              </w:rPr>
            </w:pPr>
            <w:r w:rsidRPr="006011E6">
              <w:rPr>
                <w:rFonts w:asciiTheme="majorHAnsi" w:hAnsiTheme="majorHAnsi"/>
                <w:bCs/>
              </w:rPr>
              <w:t>P: 260, 302+352, 304+340, 305+351+338, 313</w:t>
            </w:r>
          </w:p>
        </w:tc>
      </w:tr>
      <w:tr w:rsidR="006011E6" w:rsidRPr="006011E6" w:rsidTr="00101E3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  <w:b/>
                <w:bCs/>
              </w:rPr>
            </w:pPr>
            <w:r w:rsidRPr="006011E6">
              <w:rPr>
                <w:rFonts w:asciiTheme="majorHAnsi" w:hAnsiTheme="majorHAnsi"/>
                <w:b/>
                <w:noProof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25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6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27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28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9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0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1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22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011E6" w:rsidRPr="006011E6" w:rsidRDefault="006011E6" w:rsidP="006011E6">
            <w:pPr>
              <w:rPr>
                <w:rFonts w:asciiTheme="majorHAnsi" w:hAnsiTheme="majorHAnsi"/>
              </w:rPr>
            </w:pPr>
            <w:r w:rsidRPr="006011E6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225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1E6" w:rsidRPr="006011E6" w:rsidRDefault="006011E6" w:rsidP="006011E6">
      <w:pPr>
        <w:rPr>
          <w:rFonts w:asciiTheme="majorHAnsi" w:hAnsiTheme="majorHAnsi"/>
        </w:rPr>
      </w:pPr>
    </w:p>
    <w:p w:rsidR="006011E6" w:rsidRPr="006011E6" w:rsidRDefault="006011E6" w:rsidP="006011E6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rPr>
          <w:rFonts w:asciiTheme="majorHAnsi" w:hAnsiTheme="majorHAnsi"/>
        </w:rPr>
      </w:pPr>
      <w:r w:rsidRPr="006011E6">
        <w:rPr>
          <w:rFonts w:asciiTheme="majorHAnsi" w:hAnsiTheme="majorHAnsi"/>
        </w:rPr>
        <w:t xml:space="preserve">Materialien: </w:t>
      </w:r>
      <w:r w:rsidRPr="006011E6">
        <w:rPr>
          <w:rFonts w:asciiTheme="majorHAnsi" w:hAnsiTheme="majorHAnsi"/>
        </w:rPr>
        <w:tab/>
        <w:t>2 kleine Standzylinder mit Deckgläsern, Pipette, Schlauch</w:t>
      </w:r>
    </w:p>
    <w:p w:rsidR="006011E6" w:rsidRPr="006011E6" w:rsidRDefault="006011E6" w:rsidP="006011E6">
      <w:pPr>
        <w:ind w:left="1418" w:hanging="1418"/>
        <w:rPr>
          <w:rFonts w:asciiTheme="majorHAnsi" w:hAnsiTheme="majorHAnsi"/>
        </w:rPr>
      </w:pPr>
      <w:r w:rsidRPr="006011E6">
        <w:rPr>
          <w:rFonts w:asciiTheme="majorHAnsi" w:hAnsiTheme="majorHAnsi"/>
        </w:rPr>
        <w:t>Chemikalien:</w:t>
      </w:r>
      <w:r w:rsidRPr="006011E6">
        <w:rPr>
          <w:rFonts w:asciiTheme="majorHAnsi" w:hAnsiTheme="majorHAnsi"/>
        </w:rPr>
        <w:tab/>
        <w:t>Methan aus dem Gashahn, Kalkwasser</w:t>
      </w:r>
    </w:p>
    <w:p w:rsidR="006011E6" w:rsidRPr="006011E6" w:rsidRDefault="006011E6" w:rsidP="006011E6">
      <w:pPr>
        <w:rPr>
          <w:rFonts w:asciiTheme="majorHAnsi" w:hAnsiTheme="majorHAnsi"/>
        </w:rPr>
      </w:pPr>
      <w:r w:rsidRPr="006011E6">
        <w:rPr>
          <w:rFonts w:asciiTheme="majorHAnsi" w:hAnsiTheme="majorHAnsi"/>
        </w:rPr>
        <w:t>Durchführung:</w:t>
      </w:r>
      <w:r w:rsidRPr="006011E6">
        <w:rPr>
          <w:rFonts w:asciiTheme="majorHAnsi" w:hAnsiTheme="majorHAnsi"/>
        </w:rPr>
        <w:tab/>
        <w:t>Dieser Versuch besteht aus 2 Teilexperimenten:</w:t>
      </w:r>
    </w:p>
    <w:p w:rsidR="006011E6" w:rsidRPr="006011E6" w:rsidRDefault="006011E6" w:rsidP="006011E6">
      <w:pPr>
        <w:numPr>
          <w:ilvl w:val="0"/>
          <w:numId w:val="2"/>
        </w:numPr>
        <w:spacing w:after="200"/>
        <w:ind w:left="1701" w:hanging="283"/>
        <w:contextualSpacing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Der erste Standzylinder bleibt trocken.</w:t>
      </w:r>
    </w:p>
    <w:p w:rsidR="006011E6" w:rsidRPr="006011E6" w:rsidRDefault="006011E6" w:rsidP="006011E6">
      <w:pPr>
        <w:numPr>
          <w:ilvl w:val="0"/>
          <w:numId w:val="2"/>
        </w:numPr>
        <w:spacing w:after="200"/>
        <w:ind w:left="1701" w:hanging="283"/>
        <w:contextualSpacing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Die Wände des zweiten Standzylinders werden mit Kalkwasser befeuchtet.</w:t>
      </w:r>
    </w:p>
    <w:p w:rsidR="006011E6" w:rsidRPr="006011E6" w:rsidRDefault="006011E6" w:rsidP="006011E6">
      <w:pPr>
        <w:ind w:left="1418"/>
        <w:rPr>
          <w:rFonts w:asciiTheme="majorHAnsi" w:hAnsiTheme="majorHAnsi"/>
        </w:rPr>
      </w:pPr>
      <w:r w:rsidRPr="006011E6">
        <w:rPr>
          <w:rFonts w:asciiTheme="majorHAnsi" w:hAnsiTheme="majorHAnsi"/>
        </w:rPr>
        <w:t>In beide Standzylinder wird von der Lehrperson Methangas gefüllt und mit den Deckgläsern verschlossen. Anschließend kann das Methan in den Standzylindern von den SuS mit einem langen Streichholz entzündet werden.</w:t>
      </w:r>
    </w:p>
    <w:p w:rsidR="006011E6" w:rsidRPr="006011E6" w:rsidRDefault="006011E6" w:rsidP="006011E6">
      <w:pPr>
        <w:rPr>
          <w:rFonts w:asciiTheme="majorHAnsi" w:hAnsiTheme="majorHAnsi"/>
        </w:rPr>
      </w:pPr>
    </w:p>
    <w:p w:rsidR="006011E6" w:rsidRPr="006011E6" w:rsidRDefault="006011E6" w:rsidP="006011E6">
      <w:pPr>
        <w:rPr>
          <w:rFonts w:asciiTheme="majorHAnsi" w:hAnsiTheme="majorHAnsi"/>
        </w:rPr>
      </w:pPr>
      <w:r w:rsidRPr="006011E6">
        <w:rPr>
          <w:rFonts w:asciiTheme="majorHAnsi" w:hAnsiTheme="majorHAnsi"/>
        </w:rPr>
        <w:t>Beobachtung:</w:t>
      </w:r>
      <w:r w:rsidRPr="006011E6">
        <w:rPr>
          <w:rFonts w:asciiTheme="majorHAnsi" w:hAnsiTheme="majorHAnsi"/>
        </w:rPr>
        <w:tab/>
        <w:t>In den verschiedenen Standzylindern konnte Folgendes beobachtet werden:</w:t>
      </w:r>
    </w:p>
    <w:p w:rsidR="006011E6" w:rsidRPr="006011E6" w:rsidRDefault="006011E6" w:rsidP="006011E6">
      <w:pPr>
        <w:numPr>
          <w:ilvl w:val="0"/>
          <w:numId w:val="1"/>
        </w:numPr>
        <w:spacing w:after="200"/>
        <w:ind w:left="1701" w:hanging="283"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 xml:space="preserve">An den Wänden des Standzylinders bilden sich viele </w:t>
      </w:r>
      <w:proofErr w:type="spellStart"/>
      <w:r w:rsidRPr="006011E6">
        <w:rPr>
          <w:rFonts w:asciiTheme="majorHAnsi" w:hAnsiTheme="majorHAnsi"/>
        </w:rPr>
        <w:t>Wassertröpfchen</w:t>
      </w:r>
      <w:proofErr w:type="spellEnd"/>
      <w:r w:rsidRPr="006011E6">
        <w:rPr>
          <w:rFonts w:asciiTheme="majorHAnsi" w:hAnsiTheme="majorHAnsi"/>
        </w:rPr>
        <w:t>.</w:t>
      </w:r>
    </w:p>
    <w:p w:rsidR="006011E6" w:rsidRPr="006011E6" w:rsidRDefault="006011E6" w:rsidP="006011E6">
      <w:pPr>
        <w:numPr>
          <w:ilvl w:val="0"/>
          <w:numId w:val="1"/>
        </w:numPr>
        <w:spacing w:after="200"/>
        <w:ind w:left="1701" w:hanging="283"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Das Kalkwasser färbt sich trüb weiß.</w:t>
      </w:r>
    </w:p>
    <w:p w:rsidR="006011E6" w:rsidRPr="006011E6" w:rsidRDefault="006011E6" w:rsidP="006011E6">
      <w:pPr>
        <w:tabs>
          <w:tab w:val="left" w:pos="4275"/>
        </w:tabs>
        <w:ind w:left="7088" w:hanging="2268"/>
        <w:rPr>
          <w:rFonts w:asciiTheme="majorHAnsi" w:hAnsiTheme="majorHAnsi"/>
        </w:rPr>
      </w:pPr>
    </w:p>
    <w:p w:rsidR="006011E6" w:rsidRPr="006011E6" w:rsidRDefault="006011E6" w:rsidP="006011E6">
      <w:pPr>
        <w:tabs>
          <w:tab w:val="left" w:pos="4962"/>
        </w:tabs>
        <w:ind w:left="7088" w:hanging="3686"/>
        <w:rPr>
          <w:rFonts w:asciiTheme="majorHAnsi" w:hAnsiTheme="majorHAnsi"/>
          <w:bCs/>
        </w:rPr>
      </w:pPr>
      <w:r w:rsidRPr="006011E6">
        <w:rPr>
          <w:rFonts w:asciiTheme="majorHAnsi" w:hAnsiTheme="majorHAnsi"/>
        </w:rPr>
        <w:t>(1)</w:t>
      </w:r>
      <w:r w:rsidRPr="006011E6">
        <w:rPr>
          <w:rFonts w:asciiTheme="majorHAnsi" w:hAnsiTheme="majorHAnsi"/>
        </w:rPr>
        <w:tab/>
      </w:r>
      <w:r w:rsidRPr="006011E6">
        <w:rPr>
          <w:rFonts w:asciiTheme="majorHAnsi" w:hAnsiTheme="majorHAnsi"/>
          <w:bCs/>
        </w:rPr>
        <w:t>(2)</w:t>
      </w:r>
    </w:p>
    <w:p w:rsidR="006011E6" w:rsidRPr="006011E6" w:rsidRDefault="006011E6" w:rsidP="006011E6">
      <w:pPr>
        <w:rPr>
          <w:rFonts w:asciiTheme="majorHAnsi" w:hAnsiTheme="majorHAnsi"/>
          <w:bCs/>
        </w:rPr>
      </w:pPr>
      <w:r w:rsidRPr="006011E6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2074390" cy="1620000"/>
            <wp:effectExtent l="19050" t="0" r="2060" b="0"/>
            <wp:docPr id="226" name="Bild 4" descr="C:\Users\TOSHIBA\Desktop\SVP_Chemie\9._10\V1\DSCF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SVP_Chemie\9._10\V1\DSCF26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066" r="8595" b="1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9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1E6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987805" cy="1620000"/>
            <wp:effectExtent l="19050" t="0" r="2795" b="0"/>
            <wp:docPr id="227" name="Bild 3" descr="C:\Users\TOSHIBA\Desktop\SVP_Chemie\9._10\V1\DSCF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SVP_Chemie\9._10\V1\DSCF26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818" r="34050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0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1E6">
        <w:rPr>
          <w:rFonts w:asciiTheme="majorHAnsi" w:hAnsiTheme="majorHAnsi"/>
          <w:bCs/>
          <w:noProof/>
          <w:lang w:eastAsia="de-DE"/>
        </w:rPr>
        <w:drawing>
          <wp:inline distT="0" distB="0" distL="0" distR="0">
            <wp:extent cx="882439" cy="1620000"/>
            <wp:effectExtent l="19050" t="0" r="0" b="0"/>
            <wp:docPr id="228" name="Bild 5" descr="C:\Users\TOSHIBA\Desktop\SVP_Chemie\9._10\V1\DSCF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SVP_Chemie\9._10\V1\DSCF267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0729" t="13436" r="2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E6" w:rsidRPr="006011E6" w:rsidRDefault="006011E6" w:rsidP="006011E6">
      <w:pPr>
        <w:tabs>
          <w:tab w:val="left" w:pos="8100"/>
        </w:tabs>
        <w:rPr>
          <w:rFonts w:asciiTheme="majorHAnsi" w:hAnsiTheme="majorHAnsi"/>
          <w:bCs/>
        </w:rPr>
      </w:pPr>
      <w:proofErr w:type="spellStart"/>
      <w:r w:rsidRPr="006011E6">
        <w:rPr>
          <w:rFonts w:asciiTheme="majorHAnsi" w:hAnsiTheme="majorHAnsi"/>
          <w:bCs/>
        </w:rPr>
        <w:t>Abb</w:t>
      </w:r>
      <w:proofErr w:type="spellEnd"/>
      <w:r w:rsidRPr="006011E6">
        <w:rPr>
          <w:rFonts w:asciiTheme="majorHAnsi" w:hAnsiTheme="majorHAnsi"/>
          <w:bCs/>
        </w:rPr>
        <w:t xml:space="preserve"> 1: Standzylinder 1 und 2 während und nach der Verbrennung von Methan</w:t>
      </w:r>
    </w:p>
    <w:p w:rsidR="006011E6" w:rsidRPr="006011E6" w:rsidRDefault="006011E6" w:rsidP="006011E6">
      <w:pPr>
        <w:tabs>
          <w:tab w:val="left" w:pos="8100"/>
        </w:tabs>
        <w:rPr>
          <w:rFonts w:asciiTheme="majorHAnsi" w:hAnsiTheme="majorHAnsi"/>
          <w:bCs/>
        </w:rPr>
      </w:pPr>
    </w:p>
    <w:p w:rsidR="006011E6" w:rsidRPr="006011E6" w:rsidRDefault="006011E6" w:rsidP="006011E6">
      <w:pPr>
        <w:ind w:left="1410" w:hanging="1410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Deutung:</w:t>
      </w:r>
      <w:r w:rsidRPr="006011E6">
        <w:rPr>
          <w:rFonts w:asciiTheme="majorHAnsi" w:hAnsiTheme="majorHAnsi"/>
        </w:rPr>
        <w:tab/>
        <w:t>Die Beobachtungen in den Reagenzgläsern können folgendermaßen gedeutet werden:</w:t>
      </w:r>
    </w:p>
    <w:p w:rsidR="006011E6" w:rsidRPr="006011E6" w:rsidRDefault="006011E6" w:rsidP="006011E6">
      <w:pPr>
        <w:numPr>
          <w:ilvl w:val="0"/>
          <w:numId w:val="3"/>
        </w:numPr>
        <w:spacing w:after="200"/>
        <w:ind w:left="1701" w:hanging="283"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Durch die Beobachtung der Standzylinderwand kann man erkennen, dass sich Wasserdampf während der Verbrennung bildet.</w:t>
      </w:r>
    </w:p>
    <w:p w:rsidR="006011E6" w:rsidRPr="006011E6" w:rsidRDefault="006011E6" w:rsidP="006011E6">
      <w:pPr>
        <w:numPr>
          <w:ilvl w:val="0"/>
          <w:numId w:val="3"/>
        </w:numPr>
        <w:spacing w:after="200"/>
        <w:ind w:left="1701" w:hanging="283"/>
        <w:jc w:val="both"/>
        <w:rPr>
          <w:rFonts w:asciiTheme="majorHAnsi" w:hAnsiTheme="majorHAnsi"/>
        </w:rPr>
      </w:pPr>
      <w:r w:rsidRPr="006011E6">
        <w:rPr>
          <w:rFonts w:asciiTheme="majorHAnsi" w:hAnsiTheme="majorHAnsi"/>
        </w:rPr>
        <w:t>Die Trübung des Kalkwassers zeigt, dass bei der Verbrennung Kohlenstoffdioxid entsteht.</w:t>
      </w:r>
    </w:p>
    <w:p w:rsidR="006011E6" w:rsidRPr="006011E6" w:rsidRDefault="006011E6" w:rsidP="006011E6">
      <w:pPr>
        <w:ind w:left="1701"/>
        <w:rPr>
          <w:rFonts w:asciiTheme="majorHAnsi" w:hAnsiTheme="majorHAnsi"/>
        </w:rPr>
      </w:pPr>
      <w:r w:rsidRPr="006011E6">
        <w:rPr>
          <w:rFonts w:asciiTheme="majorHAnsi" w:hAnsiTheme="majorHAnsi"/>
        </w:rPr>
        <w:t>Aus diesen Nachweisreaktionen lässt sich nun eine Reaktionsgleichung für die Verbrennung von Methan mit Luftsauerstoff aufstellen:</w:t>
      </w:r>
    </w:p>
    <w:p w:rsidR="006011E6" w:rsidRPr="006011E6" w:rsidRDefault="006011E6" w:rsidP="006011E6">
      <w:pPr>
        <w:ind w:left="1701"/>
        <w:rPr>
          <w:rFonts w:asciiTheme="majorHAnsi" w:hAnsiTheme="majorHAnsi"/>
          <w:sz w:val="24"/>
          <w:szCs w:val="24"/>
          <w:vertAlign w:val="subscript"/>
        </w:rPr>
      </w:pPr>
      <w:r w:rsidRPr="006011E6">
        <w:rPr>
          <w:rFonts w:asciiTheme="majorHAnsi" w:hAnsiTheme="majorHAnsi"/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67.65pt;margin-top:7.35pt;width:30.75pt;height:0;z-index:251661312" o:connectortype="straight">
            <v:stroke endarrow="block"/>
          </v:shape>
        </w:pict>
      </w:r>
      <w:r w:rsidRPr="006011E6">
        <w:rPr>
          <w:rFonts w:asciiTheme="majorHAnsi" w:hAnsiTheme="majorHAnsi"/>
          <w:sz w:val="24"/>
          <w:szCs w:val="24"/>
        </w:rPr>
        <w:t>CH</w:t>
      </w:r>
      <w:r w:rsidRPr="006011E6">
        <w:rPr>
          <w:rFonts w:asciiTheme="majorHAnsi" w:hAnsiTheme="majorHAnsi"/>
          <w:sz w:val="24"/>
          <w:szCs w:val="24"/>
          <w:vertAlign w:val="subscript"/>
        </w:rPr>
        <w:t>4(g)</w:t>
      </w:r>
      <w:r w:rsidRPr="006011E6">
        <w:rPr>
          <w:rFonts w:asciiTheme="majorHAnsi" w:hAnsiTheme="majorHAnsi"/>
          <w:sz w:val="24"/>
          <w:szCs w:val="24"/>
        </w:rPr>
        <w:t xml:space="preserve"> + 2 O</w:t>
      </w:r>
      <w:r w:rsidRPr="006011E6">
        <w:rPr>
          <w:rFonts w:asciiTheme="majorHAnsi" w:hAnsiTheme="majorHAnsi"/>
          <w:sz w:val="24"/>
          <w:szCs w:val="24"/>
          <w:vertAlign w:val="subscript"/>
        </w:rPr>
        <w:t>2(g)</w:t>
      </w:r>
      <w:r w:rsidRPr="006011E6">
        <w:rPr>
          <w:rFonts w:asciiTheme="majorHAnsi" w:hAnsiTheme="majorHAnsi"/>
          <w:sz w:val="24"/>
          <w:szCs w:val="24"/>
        </w:rPr>
        <w:t xml:space="preserve"> </w:t>
      </w:r>
      <w:r w:rsidRPr="006011E6">
        <w:rPr>
          <w:rFonts w:asciiTheme="majorHAnsi" w:hAnsiTheme="majorHAnsi"/>
          <w:sz w:val="24"/>
          <w:szCs w:val="24"/>
        </w:rPr>
        <w:tab/>
      </w:r>
      <w:r w:rsidRPr="006011E6">
        <w:rPr>
          <w:rFonts w:asciiTheme="majorHAnsi" w:hAnsiTheme="majorHAnsi"/>
          <w:sz w:val="24"/>
          <w:szCs w:val="24"/>
        </w:rPr>
        <w:tab/>
        <w:t>CO</w:t>
      </w:r>
      <w:r w:rsidRPr="006011E6">
        <w:rPr>
          <w:rFonts w:asciiTheme="majorHAnsi" w:hAnsiTheme="majorHAnsi"/>
          <w:sz w:val="24"/>
          <w:szCs w:val="24"/>
          <w:vertAlign w:val="subscript"/>
        </w:rPr>
        <w:t>2(g)</w:t>
      </w:r>
      <w:r w:rsidRPr="006011E6">
        <w:rPr>
          <w:rFonts w:asciiTheme="majorHAnsi" w:hAnsiTheme="majorHAnsi"/>
          <w:sz w:val="24"/>
          <w:szCs w:val="24"/>
        </w:rPr>
        <w:t xml:space="preserve"> + 2 H</w:t>
      </w:r>
      <w:r w:rsidRPr="006011E6">
        <w:rPr>
          <w:rFonts w:asciiTheme="majorHAnsi" w:hAnsiTheme="majorHAnsi"/>
          <w:sz w:val="24"/>
          <w:szCs w:val="24"/>
          <w:vertAlign w:val="subscript"/>
        </w:rPr>
        <w:t>2</w:t>
      </w:r>
      <w:r w:rsidRPr="006011E6">
        <w:rPr>
          <w:rFonts w:asciiTheme="majorHAnsi" w:hAnsiTheme="majorHAnsi"/>
          <w:sz w:val="24"/>
          <w:szCs w:val="24"/>
        </w:rPr>
        <w:t>O</w:t>
      </w:r>
      <w:r w:rsidRPr="006011E6">
        <w:rPr>
          <w:rFonts w:asciiTheme="majorHAnsi" w:hAnsiTheme="majorHAnsi"/>
          <w:sz w:val="24"/>
          <w:szCs w:val="24"/>
          <w:vertAlign w:val="subscript"/>
        </w:rPr>
        <w:t>(l)</w:t>
      </w:r>
    </w:p>
    <w:p w:rsidR="006011E6" w:rsidRPr="006011E6" w:rsidRDefault="006011E6" w:rsidP="006011E6">
      <w:pPr>
        <w:ind w:left="1701"/>
        <w:jc w:val="center"/>
        <w:rPr>
          <w:rFonts w:asciiTheme="majorHAnsi" w:hAnsiTheme="majorHAnsi"/>
        </w:rPr>
      </w:pPr>
    </w:p>
    <w:p w:rsidR="006011E6" w:rsidRPr="006011E6" w:rsidRDefault="006011E6" w:rsidP="006011E6">
      <w:pPr>
        <w:ind w:left="1410" w:hanging="1410"/>
        <w:rPr>
          <w:rFonts w:asciiTheme="majorHAnsi" w:hAnsiTheme="majorHAnsi"/>
        </w:rPr>
      </w:pPr>
      <w:r w:rsidRPr="006011E6">
        <w:rPr>
          <w:rFonts w:asciiTheme="majorHAnsi" w:hAnsiTheme="majorHAnsi"/>
        </w:rPr>
        <w:t>Entsorgung:</w:t>
      </w:r>
      <w:r w:rsidRPr="006011E6">
        <w:rPr>
          <w:rFonts w:asciiTheme="majorHAnsi" w:hAnsiTheme="majorHAnsi"/>
        </w:rPr>
        <w:tab/>
        <w:t>Das Methangas verbrennt vollständig und muss nicht entsorgt werden. Das Kalkwasser kann über den Ausguss entsorgt werden.</w:t>
      </w:r>
    </w:p>
    <w:p w:rsidR="006011E6" w:rsidRPr="006011E6" w:rsidRDefault="006011E6" w:rsidP="006011E6">
      <w:pPr>
        <w:ind w:left="1410" w:hanging="1410"/>
        <w:rPr>
          <w:rFonts w:asciiTheme="majorHAnsi" w:hAnsiTheme="majorHAnsi"/>
        </w:rPr>
      </w:pPr>
    </w:p>
    <w:p w:rsidR="006011E6" w:rsidRPr="006011E6" w:rsidRDefault="006011E6" w:rsidP="006011E6">
      <w:pPr>
        <w:ind w:left="1410" w:hanging="1410"/>
        <w:rPr>
          <w:rFonts w:asciiTheme="majorHAnsi" w:hAnsiTheme="majorHAnsi"/>
        </w:rPr>
      </w:pPr>
      <w:r w:rsidRPr="006011E6">
        <w:rPr>
          <w:rFonts w:asciiTheme="majorHAnsi" w:hAnsiTheme="majorHAnsi"/>
        </w:rPr>
        <w:t>Literatur:</w:t>
      </w:r>
      <w:r w:rsidRPr="006011E6">
        <w:rPr>
          <w:rFonts w:asciiTheme="majorHAnsi" w:hAnsiTheme="majorHAnsi"/>
        </w:rPr>
        <w:tab/>
        <w:t xml:space="preserve">K. </w:t>
      </w:r>
      <w:proofErr w:type="spellStart"/>
      <w:r w:rsidRPr="006011E6">
        <w:rPr>
          <w:rFonts w:asciiTheme="majorHAnsi" w:hAnsiTheme="majorHAnsi"/>
        </w:rPr>
        <w:t>Häuseler</w:t>
      </w:r>
      <w:proofErr w:type="spellEnd"/>
      <w:r w:rsidRPr="006011E6">
        <w:rPr>
          <w:rFonts w:asciiTheme="majorHAnsi" w:hAnsiTheme="majorHAnsi"/>
        </w:rPr>
        <w:t xml:space="preserve">, H. </w:t>
      </w:r>
      <w:proofErr w:type="spellStart"/>
      <w:r w:rsidRPr="006011E6">
        <w:rPr>
          <w:rFonts w:asciiTheme="majorHAnsi" w:hAnsiTheme="majorHAnsi"/>
        </w:rPr>
        <w:t>Rampf</w:t>
      </w:r>
      <w:proofErr w:type="spellEnd"/>
      <w:r w:rsidRPr="006011E6">
        <w:rPr>
          <w:rFonts w:asciiTheme="majorHAnsi" w:hAnsiTheme="majorHAnsi"/>
        </w:rPr>
        <w:t xml:space="preserve">, R. Reichelt, R. (1995). Experimente für den Chemieunterricht. </w:t>
      </w:r>
      <w:proofErr w:type="spellStart"/>
      <w:r w:rsidRPr="006011E6">
        <w:rPr>
          <w:rFonts w:asciiTheme="majorHAnsi" w:hAnsiTheme="majorHAnsi"/>
        </w:rPr>
        <w:t>Oldenbourg</w:t>
      </w:r>
      <w:proofErr w:type="spellEnd"/>
      <w:r w:rsidRPr="006011E6">
        <w:rPr>
          <w:rFonts w:asciiTheme="majorHAnsi" w:hAnsiTheme="majorHAnsi"/>
        </w:rPr>
        <w:t xml:space="preserve"> Schulbuchverlag, 2. Auflage, S. 218.</w:t>
      </w:r>
    </w:p>
    <w:p w:rsidR="006011E6" w:rsidRPr="006011E6" w:rsidRDefault="006011E6" w:rsidP="006011E6">
      <w:pPr>
        <w:rPr>
          <w:rFonts w:asciiTheme="majorHAnsi" w:hAnsiTheme="majorHAnsi"/>
          <w:color w:val="FF0000"/>
        </w:rPr>
      </w:pPr>
    </w:p>
    <w:p w:rsidR="006011E6" w:rsidRPr="006011E6" w:rsidRDefault="006011E6" w:rsidP="006011E6">
      <w:pPr>
        <w:rPr>
          <w:rFonts w:asciiTheme="majorHAnsi" w:hAnsiTheme="majorHAnsi"/>
        </w:rPr>
      </w:pPr>
      <w:r w:rsidRPr="006011E6">
        <w:rPr>
          <w:rFonts w:asciiTheme="majorHAnsi" w:hAnsiTheme="majorHAnsi"/>
        </w:rPr>
      </w:r>
      <w:r w:rsidRPr="006011E6">
        <w:rPr>
          <w:rFonts w:asciiTheme="majorHAnsi" w:hAnsiTheme="majorHAnsi"/>
        </w:rPr>
        <w:pict>
          <v:shape id="_x0000_s1045" type="#_x0000_t202" style="width:462.45pt;height:14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45">
              <w:txbxContent>
                <w:p w:rsidR="006011E6" w:rsidRPr="006011E6" w:rsidRDefault="006011E6" w:rsidP="006011E6">
                  <w:pPr>
                    <w:jc w:val="both"/>
                    <w:rPr>
                      <w:rFonts w:asciiTheme="majorHAnsi" w:hAnsiTheme="majorHAnsi"/>
                    </w:rPr>
                  </w:pPr>
                  <w:r w:rsidRPr="006011E6">
                    <w:rPr>
                      <w:rFonts w:asciiTheme="majorHAnsi" w:hAnsiTheme="majorHAnsi"/>
                    </w:rPr>
                    <w:t>Dieser Versuch ist einer der wenigen, der von SuS durchgeführt werden kann. Die Standzyli</w:t>
                  </w:r>
                  <w:r w:rsidRPr="006011E6">
                    <w:rPr>
                      <w:rFonts w:asciiTheme="majorHAnsi" w:hAnsiTheme="majorHAnsi"/>
                    </w:rPr>
                    <w:t>n</w:t>
                  </w:r>
                  <w:r w:rsidRPr="006011E6">
                    <w:rPr>
                      <w:rFonts w:asciiTheme="majorHAnsi" w:hAnsiTheme="majorHAnsi"/>
                    </w:rPr>
                    <w:t>der sollten allerdings von der Lehrkraft mit Methangas aufgefüllt werden, um die Gefährdung durch das farblose Gas so gering wie möglich zu halten.</w:t>
                  </w:r>
                </w:p>
                <w:p w:rsidR="006011E6" w:rsidRPr="006011E6" w:rsidRDefault="006011E6" w:rsidP="006011E6">
                  <w:pPr>
                    <w:jc w:val="both"/>
                    <w:rPr>
                      <w:rFonts w:asciiTheme="majorHAnsi" w:hAnsiTheme="majorHAnsi"/>
                    </w:rPr>
                  </w:pPr>
                  <w:r w:rsidRPr="006011E6">
                    <w:rPr>
                      <w:rFonts w:asciiTheme="majorHAnsi" w:hAnsiTheme="majorHAnsi"/>
                    </w:rPr>
                    <w:t>Der Versuch ist schnell durchzuführen und durch die geringe Menge des in den Standzylindern verwendeten Methans auch ungefährlich.</w:t>
                  </w:r>
                </w:p>
                <w:p w:rsidR="006011E6" w:rsidRPr="006011E6" w:rsidRDefault="006011E6" w:rsidP="006011E6">
                  <w:pPr>
                    <w:jc w:val="both"/>
                    <w:rPr>
                      <w:rFonts w:asciiTheme="majorHAnsi" w:hAnsiTheme="majorHAnsi"/>
                    </w:rPr>
                  </w:pPr>
                  <w:r w:rsidRPr="006011E6">
                    <w:rPr>
                      <w:rFonts w:asciiTheme="majorHAnsi" w:hAnsiTheme="majorHAnsi"/>
                    </w:rPr>
                    <w:t>Hierdurch können die SuS selbst mit Methan experimentieren und sehen welche Verbre</w:t>
                  </w:r>
                  <w:r w:rsidRPr="006011E6">
                    <w:rPr>
                      <w:rFonts w:asciiTheme="majorHAnsi" w:hAnsiTheme="majorHAnsi"/>
                    </w:rPr>
                    <w:t>n</w:t>
                  </w:r>
                  <w:r w:rsidRPr="006011E6">
                    <w:rPr>
                      <w:rFonts w:asciiTheme="majorHAnsi" w:hAnsiTheme="majorHAnsi"/>
                    </w:rPr>
                    <w:t>nungsprodukte entstehen.</w:t>
                  </w:r>
                </w:p>
              </w:txbxContent>
            </v:textbox>
            <w10:wrap type="none"/>
            <w10:anchorlock/>
          </v:shape>
        </w:pict>
      </w:r>
    </w:p>
    <w:p w:rsidR="006011E6" w:rsidRPr="006011E6" w:rsidRDefault="006011E6" w:rsidP="006011E6">
      <w:pPr>
        <w:keepNext/>
        <w:keepLines/>
        <w:ind w:left="432" w:hanging="432"/>
        <w:jc w:val="both"/>
        <w:outlineLvl w:val="0"/>
        <w:rPr>
          <w:rFonts w:asciiTheme="majorHAnsi" w:eastAsiaTheme="majorEastAsia" w:hAnsiTheme="majorHAnsi" w:cstheme="majorBidi"/>
          <w:b/>
          <w:bCs/>
          <w:color w:val="1D1B11" w:themeColor="background2" w:themeShade="1A"/>
        </w:rPr>
      </w:pPr>
    </w:p>
    <w:p w:rsidR="0043384F" w:rsidRPr="006011E6" w:rsidRDefault="00377C02" w:rsidP="006011E6"/>
    <w:sectPr w:rsidR="0043384F" w:rsidRPr="006011E6" w:rsidSect="001A22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02" w:rsidRDefault="00377C02" w:rsidP="0076542F">
      <w:pPr>
        <w:spacing w:line="240" w:lineRule="auto"/>
      </w:pPr>
      <w:r>
        <w:separator/>
      </w:r>
    </w:p>
  </w:endnote>
  <w:endnote w:type="continuationSeparator" w:id="0">
    <w:p w:rsidR="00377C02" w:rsidRDefault="00377C02" w:rsidP="00765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2F" w:rsidRDefault="0076542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2F" w:rsidRDefault="0076542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2F" w:rsidRDefault="0076542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02" w:rsidRDefault="00377C02" w:rsidP="0076542F">
      <w:pPr>
        <w:spacing w:line="240" w:lineRule="auto"/>
      </w:pPr>
      <w:r>
        <w:separator/>
      </w:r>
    </w:p>
  </w:footnote>
  <w:footnote w:type="continuationSeparator" w:id="0">
    <w:p w:rsidR="00377C02" w:rsidRDefault="00377C02" w:rsidP="007654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2F" w:rsidRDefault="0076542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76542F" w:rsidRPr="0076542F" w:rsidRDefault="0076542F" w:rsidP="0076542F">
        <w:pPr>
          <w:pStyle w:val="Kopfzeile"/>
          <w:rPr>
            <w:rFonts w:asciiTheme="majorHAnsi" w:hAnsiTheme="majorHAnsi"/>
          </w:rPr>
        </w:pPr>
        <w:r w:rsidRPr="0076542F">
          <w:rPr>
            <w:rFonts w:asciiTheme="majorHAnsi" w:hAnsiTheme="majorHAnsi"/>
          </w:rPr>
          <w:t>V 1 – Verbrennungsprodukte von Methan und Sauerstoff</w:t>
        </w:r>
        <w:r w:rsidRPr="0076542F">
          <w:rPr>
            <w:rFonts w:asciiTheme="majorHAnsi" w:hAnsiTheme="majorHAnsi"/>
          </w:rPr>
          <w:tab/>
        </w:r>
        <w:r w:rsidRPr="0076542F">
          <w:rPr>
            <w:rFonts w:asciiTheme="majorHAnsi" w:hAnsiTheme="majorHAnsi"/>
          </w:rPr>
          <w:tab/>
          <w:t xml:space="preserve"> </w:t>
        </w:r>
        <w:r w:rsidR="00146315" w:rsidRPr="0076542F">
          <w:rPr>
            <w:rFonts w:asciiTheme="majorHAnsi" w:hAnsiTheme="majorHAnsi"/>
          </w:rPr>
          <w:fldChar w:fldCharType="begin"/>
        </w:r>
        <w:r w:rsidRPr="0076542F">
          <w:rPr>
            <w:rFonts w:asciiTheme="majorHAnsi" w:hAnsiTheme="majorHAnsi"/>
          </w:rPr>
          <w:instrText xml:space="preserve"> PAGE   \* MERGEFORMAT </w:instrText>
        </w:r>
        <w:r w:rsidR="00146315" w:rsidRPr="0076542F">
          <w:rPr>
            <w:rFonts w:asciiTheme="majorHAnsi" w:hAnsiTheme="majorHAnsi"/>
          </w:rPr>
          <w:fldChar w:fldCharType="separate"/>
        </w:r>
        <w:r w:rsidR="006011E6">
          <w:rPr>
            <w:rFonts w:asciiTheme="majorHAnsi" w:hAnsiTheme="majorHAnsi"/>
            <w:noProof/>
          </w:rPr>
          <w:t>1</w:t>
        </w:r>
        <w:r w:rsidR="00146315" w:rsidRPr="0076542F">
          <w:rPr>
            <w:rFonts w:asciiTheme="majorHAnsi" w:hAnsiTheme="majorHAnsi"/>
          </w:rPr>
          <w:fldChar w:fldCharType="end"/>
        </w:r>
      </w:p>
    </w:sdtContent>
  </w:sdt>
  <w:p w:rsidR="0076542F" w:rsidRDefault="00146315">
    <w:pPr>
      <w:pStyle w:val="Kopfzeil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-3.35pt;margin-top:3.1pt;width:470.25pt;height:0;flip:x;z-index:25166028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2F" w:rsidRDefault="0076542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2C4"/>
    <w:multiLevelType w:val="hybridMultilevel"/>
    <w:tmpl w:val="4DB0B2AC"/>
    <w:lvl w:ilvl="0" w:tplc="64E03D20">
      <w:start w:val="1"/>
      <w:numFmt w:val="decimal"/>
      <w:lvlText w:val="(%1)"/>
      <w:lvlJc w:val="left"/>
      <w:pPr>
        <w:ind w:left="102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62" w:hanging="360"/>
      </w:pPr>
    </w:lvl>
    <w:lvl w:ilvl="2" w:tplc="0407001B" w:tentative="1">
      <w:start w:val="1"/>
      <w:numFmt w:val="lowerRoman"/>
      <w:lvlText w:val="%3."/>
      <w:lvlJc w:val="right"/>
      <w:pPr>
        <w:ind w:left="11682" w:hanging="180"/>
      </w:pPr>
    </w:lvl>
    <w:lvl w:ilvl="3" w:tplc="0407000F" w:tentative="1">
      <w:start w:val="1"/>
      <w:numFmt w:val="decimal"/>
      <w:lvlText w:val="%4."/>
      <w:lvlJc w:val="left"/>
      <w:pPr>
        <w:ind w:left="12402" w:hanging="360"/>
      </w:pPr>
    </w:lvl>
    <w:lvl w:ilvl="4" w:tplc="04070019" w:tentative="1">
      <w:start w:val="1"/>
      <w:numFmt w:val="lowerLetter"/>
      <w:lvlText w:val="%5."/>
      <w:lvlJc w:val="left"/>
      <w:pPr>
        <w:ind w:left="13122" w:hanging="360"/>
      </w:pPr>
    </w:lvl>
    <w:lvl w:ilvl="5" w:tplc="0407001B" w:tentative="1">
      <w:start w:val="1"/>
      <w:numFmt w:val="lowerRoman"/>
      <w:lvlText w:val="%6."/>
      <w:lvlJc w:val="right"/>
      <w:pPr>
        <w:ind w:left="13842" w:hanging="180"/>
      </w:pPr>
    </w:lvl>
    <w:lvl w:ilvl="6" w:tplc="0407000F" w:tentative="1">
      <w:start w:val="1"/>
      <w:numFmt w:val="decimal"/>
      <w:lvlText w:val="%7."/>
      <w:lvlJc w:val="left"/>
      <w:pPr>
        <w:ind w:left="14562" w:hanging="360"/>
      </w:pPr>
    </w:lvl>
    <w:lvl w:ilvl="7" w:tplc="04070019" w:tentative="1">
      <w:start w:val="1"/>
      <w:numFmt w:val="lowerLetter"/>
      <w:lvlText w:val="%8."/>
      <w:lvlJc w:val="left"/>
      <w:pPr>
        <w:ind w:left="15282" w:hanging="360"/>
      </w:pPr>
    </w:lvl>
    <w:lvl w:ilvl="8" w:tplc="0407001B" w:tentative="1">
      <w:start w:val="1"/>
      <w:numFmt w:val="lowerRoman"/>
      <w:lvlText w:val="%9."/>
      <w:lvlJc w:val="right"/>
      <w:pPr>
        <w:ind w:left="16002" w:hanging="180"/>
      </w:pPr>
    </w:lvl>
  </w:abstractNum>
  <w:abstractNum w:abstractNumId="1">
    <w:nsid w:val="10705244"/>
    <w:multiLevelType w:val="hybridMultilevel"/>
    <w:tmpl w:val="6810CB42"/>
    <w:lvl w:ilvl="0" w:tplc="5726AD4E">
      <w:start w:val="1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5957"/>
    <w:multiLevelType w:val="hybridMultilevel"/>
    <w:tmpl w:val="0354EA08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ind w:left="4290" w:hanging="180"/>
      </w:pPr>
    </w:lvl>
    <w:lvl w:ilvl="3" w:tplc="0407000F">
      <w:start w:val="1"/>
      <w:numFmt w:val="decimal"/>
      <w:lvlText w:val="%4."/>
      <w:lvlJc w:val="left"/>
      <w:pPr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30D35A1A"/>
    <w:multiLevelType w:val="hybridMultilevel"/>
    <w:tmpl w:val="C93CC120"/>
    <w:lvl w:ilvl="0" w:tplc="04070017">
      <w:start w:val="1"/>
      <w:numFmt w:val="lowerLetter"/>
      <w:lvlText w:val="%1)"/>
      <w:lvlJc w:val="left"/>
      <w:pPr>
        <w:ind w:left="2913" w:hanging="360"/>
      </w:pPr>
    </w:lvl>
    <w:lvl w:ilvl="1" w:tplc="04070019" w:tentative="1">
      <w:start w:val="1"/>
      <w:numFmt w:val="lowerLetter"/>
      <w:lvlText w:val="%2."/>
      <w:lvlJc w:val="left"/>
      <w:pPr>
        <w:ind w:left="3633" w:hanging="360"/>
      </w:pPr>
    </w:lvl>
    <w:lvl w:ilvl="2" w:tplc="0407001B" w:tentative="1">
      <w:start w:val="1"/>
      <w:numFmt w:val="lowerRoman"/>
      <w:lvlText w:val="%3."/>
      <w:lvlJc w:val="right"/>
      <w:pPr>
        <w:ind w:left="4353" w:hanging="180"/>
      </w:pPr>
    </w:lvl>
    <w:lvl w:ilvl="3" w:tplc="0407000F" w:tentative="1">
      <w:start w:val="1"/>
      <w:numFmt w:val="decimal"/>
      <w:lvlText w:val="%4."/>
      <w:lvlJc w:val="left"/>
      <w:pPr>
        <w:ind w:left="5073" w:hanging="360"/>
      </w:pPr>
    </w:lvl>
    <w:lvl w:ilvl="4" w:tplc="04070019" w:tentative="1">
      <w:start w:val="1"/>
      <w:numFmt w:val="lowerLetter"/>
      <w:lvlText w:val="%5."/>
      <w:lvlJc w:val="left"/>
      <w:pPr>
        <w:ind w:left="5793" w:hanging="360"/>
      </w:pPr>
    </w:lvl>
    <w:lvl w:ilvl="5" w:tplc="0407001B" w:tentative="1">
      <w:start w:val="1"/>
      <w:numFmt w:val="lowerRoman"/>
      <w:lvlText w:val="%6."/>
      <w:lvlJc w:val="right"/>
      <w:pPr>
        <w:ind w:left="6513" w:hanging="180"/>
      </w:pPr>
    </w:lvl>
    <w:lvl w:ilvl="6" w:tplc="0407000F" w:tentative="1">
      <w:start w:val="1"/>
      <w:numFmt w:val="decimal"/>
      <w:lvlText w:val="%7."/>
      <w:lvlJc w:val="left"/>
      <w:pPr>
        <w:ind w:left="7233" w:hanging="360"/>
      </w:pPr>
    </w:lvl>
    <w:lvl w:ilvl="7" w:tplc="04070019" w:tentative="1">
      <w:start w:val="1"/>
      <w:numFmt w:val="lowerLetter"/>
      <w:lvlText w:val="%8."/>
      <w:lvlJc w:val="left"/>
      <w:pPr>
        <w:ind w:left="7953" w:hanging="360"/>
      </w:pPr>
    </w:lvl>
    <w:lvl w:ilvl="8" w:tplc="0407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3AA86F07"/>
    <w:multiLevelType w:val="hybridMultilevel"/>
    <w:tmpl w:val="475AB102"/>
    <w:lvl w:ilvl="0" w:tplc="DA60179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A7992"/>
    <w:rsid w:val="000555E5"/>
    <w:rsid w:val="000F4809"/>
    <w:rsid w:val="001461C9"/>
    <w:rsid w:val="00146315"/>
    <w:rsid w:val="001A2281"/>
    <w:rsid w:val="00377C02"/>
    <w:rsid w:val="00383C7F"/>
    <w:rsid w:val="00386FF7"/>
    <w:rsid w:val="00545E79"/>
    <w:rsid w:val="005A32BD"/>
    <w:rsid w:val="006011E6"/>
    <w:rsid w:val="00634E94"/>
    <w:rsid w:val="006C32AC"/>
    <w:rsid w:val="0076542F"/>
    <w:rsid w:val="00845DB6"/>
    <w:rsid w:val="008630B9"/>
    <w:rsid w:val="008D5B62"/>
    <w:rsid w:val="00990DB9"/>
    <w:rsid w:val="009C761D"/>
    <w:rsid w:val="00AE200B"/>
    <w:rsid w:val="00AF7815"/>
    <w:rsid w:val="00B4103F"/>
    <w:rsid w:val="00D90A5E"/>
    <w:rsid w:val="00DA7992"/>
    <w:rsid w:val="00DB6EEE"/>
    <w:rsid w:val="00DC19C6"/>
    <w:rsid w:val="00E60A01"/>
    <w:rsid w:val="00E92A66"/>
    <w:rsid w:val="00F10D6B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9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19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6542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542F"/>
  </w:style>
  <w:style w:type="paragraph" w:styleId="Fuzeile">
    <w:name w:val="footer"/>
    <w:basedOn w:val="Standard"/>
    <w:link w:val="FuzeileZchn"/>
    <w:uiPriority w:val="99"/>
    <w:semiHidden/>
    <w:unhideWhenUsed/>
    <w:rsid w:val="007654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2013-08-01T17:58:00Z</dcterms:created>
  <dcterms:modified xsi:type="dcterms:W3CDTF">2013-08-13T15:33:00Z</dcterms:modified>
</cp:coreProperties>
</file>