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12" w:rsidRPr="00271712" w:rsidRDefault="00E47958" w:rsidP="009B68AD">
      <w:pPr>
        <w:pStyle w:val="berschrift1"/>
        <w:numPr>
          <w:ilvl w:val="0"/>
          <w:numId w:val="0"/>
        </w:numPr>
        <w:ind w:left="432" w:hanging="432"/>
        <w:jc w:val="center"/>
        <w:rPr>
          <w:sz w:val="40"/>
          <w:szCs w:val="40"/>
          <w:u w:val="single"/>
        </w:rPr>
      </w:pPr>
      <w:r>
        <w:rPr>
          <w:noProof/>
          <w:sz w:val="40"/>
          <w:szCs w:val="40"/>
          <w:u w:val="single"/>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73.35pt;width:462.45pt;height:83.4pt;z-index:251660288;mso-width-relative:margin;mso-height-relative:margin" fillcolor="white [3201]" strokecolor="#4bacc6 [3208]" strokeweight="1pt">
            <v:stroke dashstyle="dash"/>
            <v:shadow color="#868686"/>
            <v:textbox style="mso-next-textbox:#_x0000_s1027">
              <w:txbxContent>
                <w:p w:rsidR="00271712" w:rsidRPr="000411E2" w:rsidRDefault="00271712" w:rsidP="00271712">
                  <w:pPr>
                    <w:rPr>
                      <w:color w:val="auto"/>
                    </w:rPr>
                  </w:pPr>
                  <w:r w:rsidRPr="000411E2">
                    <w:rPr>
                      <w:color w:val="auto"/>
                    </w:rPr>
                    <w:t xml:space="preserve">Im folgenden Versuch soll der früher eingesetzte Alkoholtest für Autofahrer in einem Modell dargestellt werden. </w:t>
                  </w:r>
                  <w:r>
                    <w:rPr>
                      <w:color w:val="auto"/>
                    </w:rPr>
                    <w:t xml:space="preserve">Die </w:t>
                  </w:r>
                  <w:proofErr w:type="spellStart"/>
                  <w:r>
                    <w:rPr>
                      <w:color w:val="auto"/>
                    </w:rPr>
                    <w:t>SuS</w:t>
                  </w:r>
                  <w:proofErr w:type="spellEnd"/>
                  <w:r>
                    <w:rPr>
                      <w:color w:val="auto"/>
                    </w:rPr>
                    <w:t xml:space="preserve"> sollten dabei Kenntnisse über den erweiterten </w:t>
                  </w:r>
                  <w:proofErr w:type="spellStart"/>
                  <w:r>
                    <w:rPr>
                      <w:color w:val="auto"/>
                    </w:rPr>
                    <w:t>Redoxbegriff</w:t>
                  </w:r>
                  <w:proofErr w:type="spellEnd"/>
                  <w:r>
                    <w:rPr>
                      <w:color w:val="auto"/>
                    </w:rPr>
                    <w:t xml:space="preserve"> besitzen, um den Versuch gut deuten zu können. Es ist jedoch auch möglich dies mit dem einfachen </w:t>
                  </w:r>
                  <w:proofErr w:type="spellStart"/>
                  <w:r>
                    <w:rPr>
                      <w:color w:val="auto"/>
                    </w:rPr>
                    <w:t>Redoxbegriff</w:t>
                  </w:r>
                  <w:proofErr w:type="spellEnd"/>
                  <w:r>
                    <w:rPr>
                      <w:color w:val="auto"/>
                    </w:rPr>
                    <w:t xml:space="preserve"> zu vereinbaren.</w:t>
                  </w:r>
                </w:p>
              </w:txbxContent>
            </v:textbox>
            <w10:wrap type="square"/>
          </v:shape>
        </w:pict>
      </w:r>
      <w:bookmarkStart w:id="0" w:name="_Toc363541053"/>
      <w:r w:rsidR="00271712" w:rsidRPr="00271712">
        <w:rPr>
          <w:sz w:val="40"/>
          <w:szCs w:val="40"/>
          <w:u w:val="single"/>
        </w:rPr>
        <w:t xml:space="preserve">V 1 – Der </w:t>
      </w:r>
      <w:proofErr w:type="spellStart"/>
      <w:r w:rsidR="00271712" w:rsidRPr="00271712">
        <w:rPr>
          <w:sz w:val="40"/>
          <w:szCs w:val="40"/>
          <w:u w:val="single"/>
        </w:rPr>
        <w:t>Alkotest</w:t>
      </w:r>
      <w:proofErr w:type="spellEnd"/>
      <w:r w:rsidR="00271712" w:rsidRPr="00271712">
        <w:rPr>
          <w:sz w:val="40"/>
          <w:szCs w:val="40"/>
          <w:u w:val="single"/>
        </w:rPr>
        <w:t xml:space="preserve"> im Modell</w:t>
      </w:r>
      <w:bookmarkEnd w:id="0"/>
    </w:p>
    <w:p w:rsidR="00271712" w:rsidRDefault="00271712" w:rsidP="00271712"/>
    <w:tbl>
      <w:tblPr>
        <w:tblW w:w="9322" w:type="dxa"/>
        <w:tblBorders>
          <w:top w:val="single" w:sz="6" w:space="0" w:color="4F81BD"/>
          <w:left w:val="single" w:sz="6" w:space="0" w:color="4F81BD"/>
          <w:bottom w:val="single" w:sz="6" w:space="0" w:color="4F81BD"/>
          <w:right w:val="single" w:sz="6" w:space="0" w:color="4F81BD"/>
          <w:insideV w:val="single" w:sz="6" w:space="0" w:color="4F81BD"/>
        </w:tblBorders>
        <w:tblLayout w:type="fixed"/>
        <w:tblLook w:val="04A0"/>
      </w:tblPr>
      <w:tblGrid>
        <w:gridCol w:w="1009"/>
        <w:gridCol w:w="1009"/>
        <w:gridCol w:w="1009"/>
        <w:gridCol w:w="1009"/>
        <w:gridCol w:w="1175"/>
        <w:gridCol w:w="993"/>
        <w:gridCol w:w="975"/>
        <w:gridCol w:w="1009"/>
        <w:gridCol w:w="1134"/>
      </w:tblGrid>
      <w:tr w:rsidR="00271712" w:rsidRPr="009C5E28" w:rsidTr="00FE2F8F">
        <w:tc>
          <w:tcPr>
            <w:tcW w:w="9322" w:type="dxa"/>
            <w:gridSpan w:val="9"/>
            <w:tcBorders>
              <w:bottom w:val="single" w:sz="6" w:space="0" w:color="4F81BD"/>
            </w:tcBorders>
            <w:shd w:val="clear" w:color="auto" w:fill="4F81BD"/>
            <w:vAlign w:val="center"/>
          </w:tcPr>
          <w:p w:rsidR="00271712" w:rsidRPr="009C5E28" w:rsidRDefault="00271712" w:rsidP="00FE2F8F">
            <w:pPr>
              <w:spacing w:after="0"/>
              <w:jc w:val="center"/>
              <w:rPr>
                <w:b/>
                <w:bCs/>
              </w:rPr>
            </w:pPr>
            <w:r w:rsidRPr="009C5E28">
              <w:rPr>
                <w:b/>
                <w:bCs/>
              </w:rPr>
              <w:t>Gefahrenstoffe</w:t>
            </w:r>
          </w:p>
        </w:tc>
      </w:tr>
      <w:tr w:rsidR="00271712" w:rsidRPr="009C5E28" w:rsidTr="00FE2F8F">
        <w:trPr>
          <w:trHeight w:val="437"/>
        </w:trPr>
        <w:tc>
          <w:tcPr>
            <w:tcW w:w="3027" w:type="dxa"/>
            <w:gridSpan w:val="3"/>
            <w:tcBorders>
              <w:top w:val="single" w:sz="6" w:space="0" w:color="4F81BD"/>
              <w:bottom w:val="single" w:sz="6" w:space="0" w:color="4F81BD"/>
              <w:right w:val="nil"/>
            </w:tcBorders>
            <w:shd w:val="clear" w:color="auto" w:fill="auto"/>
            <w:vAlign w:val="center"/>
          </w:tcPr>
          <w:p w:rsidR="00271712" w:rsidRPr="009C5E28" w:rsidRDefault="00271712" w:rsidP="00FE2F8F">
            <w:pPr>
              <w:spacing w:after="0" w:line="276" w:lineRule="auto"/>
              <w:jc w:val="center"/>
              <w:rPr>
                <w:b/>
                <w:bCs/>
              </w:rPr>
            </w:pPr>
            <w:proofErr w:type="spellStart"/>
            <w:r>
              <w:rPr>
                <w:sz w:val="20"/>
              </w:rPr>
              <w:t>Kaliumdichromat</w:t>
            </w:r>
            <w:proofErr w:type="spellEnd"/>
          </w:p>
        </w:tc>
        <w:tc>
          <w:tcPr>
            <w:tcW w:w="3177" w:type="dxa"/>
            <w:gridSpan w:val="3"/>
            <w:tcBorders>
              <w:top w:val="single" w:sz="6" w:space="0" w:color="4F81BD"/>
              <w:left w:val="nil"/>
              <w:bottom w:val="single" w:sz="6" w:space="0" w:color="4F81BD"/>
              <w:right w:val="nil"/>
            </w:tcBorders>
            <w:shd w:val="clear" w:color="auto" w:fill="auto"/>
            <w:vAlign w:val="center"/>
          </w:tcPr>
          <w:p w:rsidR="00271712" w:rsidRPr="009C5E28" w:rsidRDefault="00271712" w:rsidP="00FE2F8F">
            <w:pPr>
              <w:spacing w:after="0"/>
              <w:jc w:val="center"/>
            </w:pPr>
            <w:r w:rsidRPr="009C5E28">
              <w:rPr>
                <w:sz w:val="20"/>
              </w:rPr>
              <w:t xml:space="preserve">H: </w:t>
            </w:r>
            <w:r>
              <w:t>350-340-360FD-272-330-301-312-372-314-334-317-410</w:t>
            </w:r>
          </w:p>
        </w:tc>
        <w:tc>
          <w:tcPr>
            <w:tcW w:w="3118" w:type="dxa"/>
            <w:gridSpan w:val="3"/>
            <w:tcBorders>
              <w:top w:val="single" w:sz="6" w:space="0" w:color="4F81BD"/>
              <w:left w:val="nil"/>
              <w:bottom w:val="single" w:sz="6" w:space="0" w:color="4F81BD"/>
            </w:tcBorders>
            <w:shd w:val="clear" w:color="auto" w:fill="auto"/>
            <w:vAlign w:val="center"/>
          </w:tcPr>
          <w:p w:rsidR="00271712" w:rsidRPr="009C5E28" w:rsidRDefault="00271712" w:rsidP="00FE2F8F">
            <w:pPr>
              <w:spacing w:after="0"/>
              <w:jc w:val="center"/>
            </w:pPr>
            <w:r w:rsidRPr="009C5E28">
              <w:rPr>
                <w:sz w:val="20"/>
              </w:rPr>
              <w:t xml:space="preserve">P: </w:t>
            </w:r>
            <w:r>
              <w:t>201-280-301+330+331-305+351+338-304+341-308+313</w:t>
            </w:r>
          </w:p>
        </w:tc>
      </w:tr>
      <w:tr w:rsidR="00271712" w:rsidRPr="009C5E28" w:rsidTr="00FE2F8F">
        <w:trPr>
          <w:trHeight w:val="434"/>
        </w:trPr>
        <w:tc>
          <w:tcPr>
            <w:tcW w:w="3027" w:type="dxa"/>
            <w:gridSpan w:val="3"/>
            <w:tcBorders>
              <w:top w:val="single" w:sz="6" w:space="0" w:color="4F81BD"/>
              <w:bottom w:val="single" w:sz="6" w:space="0" w:color="4F81BD"/>
              <w:right w:val="nil"/>
            </w:tcBorders>
            <w:shd w:val="clear" w:color="auto" w:fill="auto"/>
            <w:vAlign w:val="center"/>
          </w:tcPr>
          <w:p w:rsidR="00271712" w:rsidRPr="009C5E28" w:rsidRDefault="00271712" w:rsidP="00FE2F8F">
            <w:pPr>
              <w:spacing w:after="0" w:line="276" w:lineRule="auto"/>
              <w:jc w:val="center"/>
              <w:rPr>
                <w:bCs/>
                <w:sz w:val="20"/>
              </w:rPr>
            </w:pPr>
            <w:r>
              <w:rPr>
                <w:color w:val="auto"/>
                <w:sz w:val="20"/>
                <w:szCs w:val="20"/>
              </w:rPr>
              <w:t>Schwefelsäure</w:t>
            </w:r>
          </w:p>
        </w:tc>
        <w:tc>
          <w:tcPr>
            <w:tcW w:w="3177" w:type="dxa"/>
            <w:gridSpan w:val="3"/>
            <w:tcBorders>
              <w:top w:val="single" w:sz="6" w:space="0" w:color="4F81BD"/>
              <w:left w:val="nil"/>
              <w:bottom w:val="single" w:sz="6" w:space="0" w:color="4F81BD"/>
              <w:right w:val="nil"/>
            </w:tcBorders>
            <w:shd w:val="clear" w:color="auto" w:fill="auto"/>
            <w:vAlign w:val="center"/>
          </w:tcPr>
          <w:p w:rsidR="00271712" w:rsidRPr="00874684" w:rsidRDefault="00271712" w:rsidP="00FE2F8F">
            <w:pPr>
              <w:pStyle w:val="Beschriftung"/>
              <w:spacing w:after="0"/>
              <w:jc w:val="center"/>
              <w:rPr>
                <w:sz w:val="22"/>
                <w:szCs w:val="22"/>
              </w:rPr>
            </w:pPr>
            <w:r w:rsidRPr="00874684">
              <w:rPr>
                <w:sz w:val="22"/>
                <w:szCs w:val="22"/>
              </w:rPr>
              <w:t>H: 314-290</w:t>
            </w:r>
          </w:p>
        </w:tc>
        <w:tc>
          <w:tcPr>
            <w:tcW w:w="3118" w:type="dxa"/>
            <w:gridSpan w:val="3"/>
            <w:tcBorders>
              <w:top w:val="single" w:sz="6" w:space="0" w:color="4F81BD"/>
              <w:left w:val="nil"/>
              <w:bottom w:val="single" w:sz="6" w:space="0" w:color="4F81BD"/>
            </w:tcBorders>
            <w:shd w:val="clear" w:color="auto" w:fill="auto"/>
            <w:vAlign w:val="center"/>
          </w:tcPr>
          <w:p w:rsidR="00271712" w:rsidRPr="00874684" w:rsidRDefault="00271712" w:rsidP="00FE2F8F">
            <w:pPr>
              <w:pStyle w:val="Beschriftung"/>
              <w:spacing w:after="0"/>
              <w:jc w:val="center"/>
              <w:rPr>
                <w:sz w:val="22"/>
                <w:szCs w:val="22"/>
              </w:rPr>
            </w:pPr>
            <w:r w:rsidRPr="00874684">
              <w:rPr>
                <w:sz w:val="22"/>
                <w:szCs w:val="22"/>
              </w:rPr>
              <w:t>P: 280-301+330+331-305+351+338-309+310</w:t>
            </w:r>
          </w:p>
        </w:tc>
      </w:tr>
      <w:tr w:rsidR="00271712" w:rsidRPr="009C5E28" w:rsidTr="00FE2F8F">
        <w:trPr>
          <w:trHeight w:val="434"/>
        </w:trPr>
        <w:tc>
          <w:tcPr>
            <w:tcW w:w="3027" w:type="dxa"/>
            <w:gridSpan w:val="3"/>
            <w:tcBorders>
              <w:top w:val="single" w:sz="6" w:space="0" w:color="4F81BD"/>
              <w:bottom w:val="single" w:sz="6" w:space="0" w:color="4F81BD"/>
              <w:right w:val="nil"/>
            </w:tcBorders>
            <w:shd w:val="clear" w:color="auto" w:fill="auto"/>
            <w:vAlign w:val="center"/>
          </w:tcPr>
          <w:p w:rsidR="00271712" w:rsidRDefault="00271712" w:rsidP="00FE2F8F">
            <w:pPr>
              <w:spacing w:after="0" w:line="276" w:lineRule="auto"/>
              <w:jc w:val="center"/>
              <w:rPr>
                <w:color w:val="auto"/>
                <w:sz w:val="20"/>
                <w:szCs w:val="20"/>
              </w:rPr>
            </w:pPr>
            <w:r>
              <w:rPr>
                <w:color w:val="auto"/>
                <w:sz w:val="20"/>
                <w:szCs w:val="20"/>
              </w:rPr>
              <w:t>Kieselgel</w:t>
            </w:r>
          </w:p>
        </w:tc>
        <w:tc>
          <w:tcPr>
            <w:tcW w:w="3177" w:type="dxa"/>
            <w:gridSpan w:val="3"/>
            <w:tcBorders>
              <w:top w:val="single" w:sz="6" w:space="0" w:color="4F81BD"/>
              <w:left w:val="nil"/>
              <w:bottom w:val="single" w:sz="6" w:space="0" w:color="4F81BD"/>
              <w:right w:val="nil"/>
            </w:tcBorders>
            <w:shd w:val="clear" w:color="auto" w:fill="auto"/>
            <w:vAlign w:val="center"/>
          </w:tcPr>
          <w:p w:rsidR="00271712" w:rsidRPr="00874684" w:rsidRDefault="00271712" w:rsidP="00FE2F8F">
            <w:pPr>
              <w:pStyle w:val="Beschriftung"/>
              <w:spacing w:after="0"/>
              <w:jc w:val="center"/>
              <w:rPr>
                <w:sz w:val="22"/>
                <w:szCs w:val="22"/>
              </w:rPr>
            </w:pPr>
            <w:r>
              <w:rPr>
                <w:sz w:val="22"/>
                <w:szCs w:val="22"/>
              </w:rPr>
              <w:t>/</w:t>
            </w:r>
          </w:p>
        </w:tc>
        <w:tc>
          <w:tcPr>
            <w:tcW w:w="3118" w:type="dxa"/>
            <w:gridSpan w:val="3"/>
            <w:tcBorders>
              <w:top w:val="single" w:sz="6" w:space="0" w:color="4F81BD"/>
              <w:left w:val="nil"/>
              <w:bottom w:val="single" w:sz="6" w:space="0" w:color="4F81BD"/>
            </w:tcBorders>
            <w:shd w:val="clear" w:color="auto" w:fill="auto"/>
            <w:vAlign w:val="center"/>
          </w:tcPr>
          <w:p w:rsidR="00271712" w:rsidRPr="00874684" w:rsidRDefault="00271712" w:rsidP="00FE2F8F">
            <w:pPr>
              <w:pStyle w:val="Beschriftung"/>
              <w:spacing w:after="0"/>
              <w:jc w:val="center"/>
              <w:rPr>
                <w:sz w:val="22"/>
                <w:szCs w:val="22"/>
              </w:rPr>
            </w:pPr>
            <w:r>
              <w:rPr>
                <w:sz w:val="22"/>
                <w:szCs w:val="22"/>
              </w:rPr>
              <w:t>/</w:t>
            </w:r>
          </w:p>
        </w:tc>
      </w:tr>
      <w:tr w:rsidR="00271712" w:rsidRPr="009C5E28" w:rsidTr="00FE2F8F">
        <w:trPr>
          <w:trHeight w:val="434"/>
        </w:trPr>
        <w:tc>
          <w:tcPr>
            <w:tcW w:w="3027" w:type="dxa"/>
            <w:gridSpan w:val="3"/>
            <w:tcBorders>
              <w:top w:val="single" w:sz="6" w:space="0" w:color="4F81BD"/>
              <w:bottom w:val="single" w:sz="6" w:space="0" w:color="4F81BD"/>
              <w:right w:val="nil"/>
            </w:tcBorders>
            <w:shd w:val="clear" w:color="auto" w:fill="auto"/>
            <w:vAlign w:val="center"/>
          </w:tcPr>
          <w:p w:rsidR="00271712" w:rsidRDefault="00271712" w:rsidP="00FE2F8F">
            <w:pPr>
              <w:spacing w:after="0" w:line="276" w:lineRule="auto"/>
              <w:jc w:val="center"/>
              <w:rPr>
                <w:color w:val="auto"/>
                <w:sz w:val="20"/>
                <w:szCs w:val="20"/>
              </w:rPr>
            </w:pPr>
            <w:r>
              <w:rPr>
                <w:color w:val="auto"/>
                <w:sz w:val="20"/>
                <w:szCs w:val="20"/>
              </w:rPr>
              <w:t>Ethanol</w:t>
            </w:r>
          </w:p>
        </w:tc>
        <w:tc>
          <w:tcPr>
            <w:tcW w:w="3177" w:type="dxa"/>
            <w:gridSpan w:val="3"/>
            <w:tcBorders>
              <w:top w:val="single" w:sz="6" w:space="0" w:color="4F81BD"/>
              <w:left w:val="nil"/>
              <w:bottom w:val="single" w:sz="6" w:space="0" w:color="4F81BD"/>
              <w:right w:val="nil"/>
            </w:tcBorders>
            <w:shd w:val="clear" w:color="auto" w:fill="auto"/>
            <w:vAlign w:val="center"/>
          </w:tcPr>
          <w:p w:rsidR="00271712" w:rsidRDefault="00271712" w:rsidP="00FE2F8F">
            <w:pPr>
              <w:pStyle w:val="Beschriftung"/>
              <w:spacing w:after="0"/>
              <w:jc w:val="center"/>
              <w:rPr>
                <w:sz w:val="22"/>
                <w:szCs w:val="22"/>
              </w:rPr>
            </w:pPr>
            <w:r>
              <w:rPr>
                <w:sz w:val="22"/>
                <w:szCs w:val="22"/>
              </w:rPr>
              <w:t>H:225</w:t>
            </w:r>
          </w:p>
        </w:tc>
        <w:tc>
          <w:tcPr>
            <w:tcW w:w="3118" w:type="dxa"/>
            <w:gridSpan w:val="3"/>
            <w:tcBorders>
              <w:top w:val="single" w:sz="6" w:space="0" w:color="4F81BD"/>
              <w:left w:val="nil"/>
              <w:bottom w:val="single" w:sz="6" w:space="0" w:color="4F81BD"/>
            </w:tcBorders>
            <w:shd w:val="clear" w:color="auto" w:fill="auto"/>
            <w:vAlign w:val="center"/>
          </w:tcPr>
          <w:p w:rsidR="00271712" w:rsidRDefault="00271712" w:rsidP="00FE2F8F">
            <w:pPr>
              <w:pStyle w:val="Beschriftung"/>
              <w:spacing w:after="0"/>
              <w:jc w:val="center"/>
              <w:rPr>
                <w:sz w:val="22"/>
                <w:szCs w:val="22"/>
              </w:rPr>
            </w:pPr>
            <w:r>
              <w:rPr>
                <w:sz w:val="22"/>
                <w:szCs w:val="22"/>
              </w:rPr>
              <w:t>P:210</w:t>
            </w:r>
          </w:p>
        </w:tc>
      </w:tr>
      <w:tr w:rsidR="00271712" w:rsidRPr="009C5E28" w:rsidTr="00FE2F8F">
        <w:trPr>
          <w:trHeight w:val="434"/>
        </w:trPr>
        <w:tc>
          <w:tcPr>
            <w:tcW w:w="3027" w:type="dxa"/>
            <w:gridSpan w:val="3"/>
            <w:tcBorders>
              <w:top w:val="single" w:sz="6" w:space="0" w:color="4F81BD"/>
              <w:bottom w:val="single" w:sz="6" w:space="0" w:color="4F81BD"/>
              <w:right w:val="nil"/>
            </w:tcBorders>
            <w:shd w:val="clear" w:color="auto" w:fill="auto"/>
            <w:vAlign w:val="center"/>
          </w:tcPr>
          <w:p w:rsidR="00271712" w:rsidRDefault="00271712" w:rsidP="00FE2F8F">
            <w:pPr>
              <w:spacing w:after="0" w:line="276" w:lineRule="auto"/>
              <w:jc w:val="center"/>
              <w:rPr>
                <w:color w:val="auto"/>
                <w:sz w:val="20"/>
                <w:szCs w:val="20"/>
              </w:rPr>
            </w:pPr>
            <w:r>
              <w:rPr>
                <w:color w:val="auto"/>
                <w:sz w:val="20"/>
                <w:szCs w:val="20"/>
              </w:rPr>
              <w:t>Wasser</w:t>
            </w:r>
          </w:p>
        </w:tc>
        <w:tc>
          <w:tcPr>
            <w:tcW w:w="3177" w:type="dxa"/>
            <w:gridSpan w:val="3"/>
            <w:tcBorders>
              <w:top w:val="single" w:sz="6" w:space="0" w:color="4F81BD"/>
              <w:left w:val="nil"/>
              <w:bottom w:val="single" w:sz="6" w:space="0" w:color="4F81BD"/>
              <w:right w:val="nil"/>
            </w:tcBorders>
            <w:shd w:val="clear" w:color="auto" w:fill="auto"/>
            <w:vAlign w:val="center"/>
          </w:tcPr>
          <w:p w:rsidR="00271712" w:rsidRDefault="00271712" w:rsidP="00FE2F8F">
            <w:pPr>
              <w:pStyle w:val="Beschriftung"/>
              <w:spacing w:after="0"/>
              <w:jc w:val="center"/>
              <w:rPr>
                <w:sz w:val="22"/>
                <w:szCs w:val="22"/>
              </w:rPr>
            </w:pPr>
            <w:r>
              <w:rPr>
                <w:sz w:val="22"/>
                <w:szCs w:val="22"/>
              </w:rPr>
              <w:t>/</w:t>
            </w:r>
          </w:p>
        </w:tc>
        <w:tc>
          <w:tcPr>
            <w:tcW w:w="3118" w:type="dxa"/>
            <w:gridSpan w:val="3"/>
            <w:tcBorders>
              <w:top w:val="single" w:sz="6" w:space="0" w:color="4F81BD"/>
              <w:left w:val="nil"/>
              <w:bottom w:val="single" w:sz="6" w:space="0" w:color="4F81BD"/>
            </w:tcBorders>
            <w:shd w:val="clear" w:color="auto" w:fill="auto"/>
            <w:vAlign w:val="center"/>
          </w:tcPr>
          <w:p w:rsidR="00271712" w:rsidRDefault="00271712" w:rsidP="00FE2F8F">
            <w:pPr>
              <w:pStyle w:val="Beschriftung"/>
              <w:spacing w:after="0"/>
              <w:jc w:val="center"/>
              <w:rPr>
                <w:sz w:val="22"/>
                <w:szCs w:val="22"/>
              </w:rPr>
            </w:pPr>
            <w:r>
              <w:rPr>
                <w:sz w:val="22"/>
                <w:szCs w:val="22"/>
              </w:rPr>
              <w:t>/</w:t>
            </w:r>
          </w:p>
        </w:tc>
      </w:tr>
      <w:tr w:rsidR="00271712" w:rsidRPr="009C5E28" w:rsidTr="00FE2F8F">
        <w:tc>
          <w:tcPr>
            <w:tcW w:w="1009" w:type="dxa"/>
            <w:tcBorders>
              <w:top w:val="single" w:sz="6" w:space="0" w:color="4F81BD"/>
            </w:tcBorders>
            <w:shd w:val="clear" w:color="auto" w:fill="auto"/>
            <w:vAlign w:val="center"/>
          </w:tcPr>
          <w:p w:rsidR="00271712" w:rsidRPr="009C5E28" w:rsidRDefault="00271712" w:rsidP="00FE2F8F">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6" w:space="0" w:color="4F81BD"/>
            </w:tcBorders>
            <w:shd w:val="clear" w:color="auto" w:fill="auto"/>
            <w:vAlign w:val="center"/>
          </w:tcPr>
          <w:p w:rsidR="00271712" w:rsidRPr="009C5E28" w:rsidRDefault="00271712" w:rsidP="00FE2F8F">
            <w:pPr>
              <w:spacing w:after="0"/>
              <w:jc w:val="center"/>
            </w:pPr>
            <w:r w:rsidRPr="00B075D9">
              <w:rPr>
                <w:noProof/>
                <w:lang w:eastAsia="de-DE"/>
              </w:rPr>
              <w:drawing>
                <wp:inline distT="0" distB="0" distL="0" distR="0">
                  <wp:extent cx="504190" cy="504190"/>
                  <wp:effectExtent l="19050" t="0" r="0" b="0"/>
                  <wp:docPr id="2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6" w:space="0" w:color="4F81BD"/>
            </w:tcBorders>
            <w:shd w:val="clear" w:color="auto" w:fill="auto"/>
            <w:vAlign w:val="center"/>
          </w:tcPr>
          <w:p w:rsidR="00271712" w:rsidRPr="009C5E28" w:rsidRDefault="00271712" w:rsidP="00FE2F8F">
            <w:pPr>
              <w:spacing w:after="0"/>
              <w:jc w:val="center"/>
            </w:pPr>
            <w:r>
              <w:rPr>
                <w:noProof/>
                <w:lang w:eastAsia="de-DE"/>
              </w:rPr>
              <w:drawing>
                <wp:inline distT="0" distB="0" distL="0" distR="0">
                  <wp:extent cx="504190" cy="504190"/>
                  <wp:effectExtent l="19050" t="0" r="0" b="0"/>
                  <wp:docPr id="2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6" w:space="0" w:color="4F81BD"/>
            </w:tcBorders>
            <w:shd w:val="clear" w:color="auto" w:fill="auto"/>
            <w:vAlign w:val="center"/>
          </w:tcPr>
          <w:p w:rsidR="00271712" w:rsidRPr="009C5E28" w:rsidRDefault="00271712" w:rsidP="00FE2F8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6" w:space="0" w:color="4F81BD"/>
            </w:tcBorders>
            <w:shd w:val="clear" w:color="auto" w:fill="auto"/>
            <w:vAlign w:val="center"/>
          </w:tcPr>
          <w:p w:rsidR="00271712" w:rsidRPr="009C5E28" w:rsidRDefault="00271712" w:rsidP="00FE2F8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6" w:space="0" w:color="4F81BD"/>
            </w:tcBorders>
            <w:shd w:val="clear" w:color="auto" w:fill="auto"/>
            <w:vAlign w:val="center"/>
          </w:tcPr>
          <w:p w:rsidR="00271712" w:rsidRPr="009C5E28" w:rsidRDefault="00271712" w:rsidP="00FE2F8F">
            <w:pPr>
              <w:spacing w:after="0"/>
              <w:jc w:val="center"/>
            </w:pPr>
            <w:r>
              <w:rPr>
                <w:noProof/>
                <w:lang w:eastAsia="de-DE"/>
              </w:rPr>
              <w:drawing>
                <wp:inline distT="0" distB="0" distL="0" distR="0">
                  <wp:extent cx="504190" cy="504190"/>
                  <wp:effectExtent l="1905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6" w:space="0" w:color="4F81BD"/>
            </w:tcBorders>
            <w:shd w:val="clear" w:color="auto" w:fill="auto"/>
            <w:vAlign w:val="center"/>
          </w:tcPr>
          <w:p w:rsidR="00271712" w:rsidRPr="009C5E28" w:rsidRDefault="00271712" w:rsidP="00FE2F8F">
            <w:pPr>
              <w:spacing w:after="0"/>
              <w:jc w:val="center"/>
            </w:pPr>
            <w:r>
              <w:rPr>
                <w:noProof/>
                <w:lang w:eastAsia="de-DE"/>
              </w:rPr>
              <w:drawing>
                <wp:inline distT="0" distB="0" distL="0" distR="0">
                  <wp:extent cx="504190" cy="504190"/>
                  <wp:effectExtent l="1905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6" w:space="0" w:color="4F81BD"/>
            </w:tcBorders>
            <w:shd w:val="clear" w:color="auto" w:fill="auto"/>
            <w:vAlign w:val="center"/>
          </w:tcPr>
          <w:p w:rsidR="00271712" w:rsidRPr="009C5E28" w:rsidRDefault="00271712" w:rsidP="00FE2F8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6" w:space="0" w:color="4F81BD"/>
            </w:tcBorders>
            <w:shd w:val="clear" w:color="auto" w:fill="auto"/>
            <w:vAlign w:val="center"/>
          </w:tcPr>
          <w:p w:rsidR="00271712" w:rsidRPr="009C5E28" w:rsidRDefault="00271712" w:rsidP="00FE2F8F">
            <w:pPr>
              <w:spacing w:after="0"/>
              <w:jc w:val="center"/>
            </w:pPr>
            <w:r>
              <w:rPr>
                <w:noProof/>
                <w:lang w:eastAsia="de-DE"/>
              </w:rPr>
              <w:drawing>
                <wp:inline distT="0" distB="0" distL="0" distR="0">
                  <wp:extent cx="504190" cy="504190"/>
                  <wp:effectExtent l="1905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271712" w:rsidRDefault="00271712" w:rsidP="00271712">
      <w:pPr>
        <w:tabs>
          <w:tab w:val="left" w:pos="1701"/>
          <w:tab w:val="left" w:pos="1985"/>
        </w:tabs>
        <w:ind w:left="1980" w:hanging="1980"/>
      </w:pPr>
    </w:p>
    <w:p w:rsidR="00271712" w:rsidRDefault="00271712" w:rsidP="00271712">
      <w:pPr>
        <w:tabs>
          <w:tab w:val="left" w:pos="1701"/>
          <w:tab w:val="left" w:pos="1985"/>
        </w:tabs>
        <w:ind w:left="1980" w:hanging="1980"/>
      </w:pPr>
      <w:r>
        <w:t xml:space="preserve">Materialien: </w:t>
      </w:r>
      <w:r>
        <w:tab/>
      </w:r>
      <w:r>
        <w:tab/>
      </w:r>
      <w:proofErr w:type="spellStart"/>
      <w:r>
        <w:t>Großes</w:t>
      </w:r>
      <w:proofErr w:type="spellEnd"/>
      <w:r>
        <w:t xml:space="preserve"> </w:t>
      </w:r>
      <w:proofErr w:type="spellStart"/>
      <w:r>
        <w:t>Glasrohr</w:t>
      </w:r>
      <w:proofErr w:type="spellEnd"/>
      <w:r>
        <w:t xml:space="preserve">, zwei Stopfen mit Glasrohren, zwei Waschflaschen, Schlauchverbindungen, Stativ mit Klemme, </w:t>
      </w:r>
      <w:proofErr w:type="spellStart"/>
      <w:r>
        <w:t>Woulfsche</w:t>
      </w:r>
      <w:proofErr w:type="spellEnd"/>
      <w:r>
        <w:t xml:space="preserve"> Flasche, Spatel, Pipette, Uhrglas </w:t>
      </w:r>
    </w:p>
    <w:p w:rsidR="00271712" w:rsidRPr="00ED07C2" w:rsidRDefault="00271712" w:rsidP="00271712">
      <w:pPr>
        <w:tabs>
          <w:tab w:val="left" w:pos="1701"/>
          <w:tab w:val="left" w:pos="1985"/>
        </w:tabs>
        <w:ind w:left="1980" w:hanging="1980"/>
      </w:pPr>
      <w:r>
        <w:t>Chemikalien:</w:t>
      </w:r>
      <w:r>
        <w:tab/>
      </w:r>
      <w:r>
        <w:tab/>
      </w:r>
      <w:proofErr w:type="spellStart"/>
      <w:r>
        <w:t>Kaliumdichromat</w:t>
      </w:r>
      <w:proofErr w:type="spellEnd"/>
      <w:r>
        <w:t>, Schwefelsäure, Kieselgel, Ethanol, Wasser</w:t>
      </w:r>
    </w:p>
    <w:p w:rsidR="00271712" w:rsidRDefault="00271712" w:rsidP="00271712">
      <w:pPr>
        <w:tabs>
          <w:tab w:val="left" w:pos="1701"/>
          <w:tab w:val="left" w:pos="1985"/>
        </w:tabs>
        <w:ind w:left="1980" w:hanging="1980"/>
      </w:pPr>
      <w:r>
        <w:t xml:space="preserve">Durchführung: </w:t>
      </w:r>
      <w:r>
        <w:tab/>
      </w:r>
      <w:r>
        <w:tab/>
      </w:r>
      <w:r>
        <w:tab/>
        <w:t xml:space="preserve">Etwa zwei Milliliter konzentrierte Schwefelsäure werden mit einer Pipette in ein Becherglas gegeben. Dazu wird mit einem Spatel etwas </w:t>
      </w:r>
      <w:proofErr w:type="spellStart"/>
      <w:r>
        <w:t>Kaliumdichromat</w:t>
      </w:r>
      <w:proofErr w:type="spellEnd"/>
      <w:r>
        <w:t xml:space="preserve"> zugesetzt und darin gelöst. Etwa 5 g Kieselgel werden auf einem Uhrglas abgewogen, die Lösung darüber gegeben und gut vermischt. Dieses Gemisch wird anschließen in ein </w:t>
      </w:r>
      <w:proofErr w:type="spellStart"/>
      <w:r>
        <w:t>Glasrohr</w:t>
      </w:r>
      <w:proofErr w:type="spellEnd"/>
      <w:r>
        <w:t xml:space="preserve"> gefüllt, welches an einem Stativ eingespannt und mit zwei Waschflaschen verbunden wird. In die linke Waschfalsche werden einige Milliliter Ethanol gegeben, in die rechte einige Milliliter Wasser. An diese Waschflasche wird das Vakuum </w:t>
      </w:r>
      <w:r>
        <w:lastRenderedPageBreak/>
        <w:t xml:space="preserve">angeschlossen und eine </w:t>
      </w:r>
      <w:proofErr w:type="spellStart"/>
      <w:r>
        <w:t>Woulfsche</w:t>
      </w:r>
      <w:proofErr w:type="spellEnd"/>
      <w:r>
        <w:t xml:space="preserve"> Flasche zwischengeschaltet. Das Vakuum wird nun langsam aufgedreht und gewartet.</w:t>
      </w:r>
    </w:p>
    <w:p w:rsidR="00271712" w:rsidRDefault="00271712" w:rsidP="00271712">
      <w:pPr>
        <w:tabs>
          <w:tab w:val="left" w:pos="1701"/>
          <w:tab w:val="left" w:pos="1985"/>
        </w:tabs>
        <w:ind w:left="1980" w:hanging="1980"/>
        <w:jc w:val="center"/>
      </w:pPr>
      <w:r>
        <w:rPr>
          <w:noProof/>
          <w:lang w:eastAsia="de-DE"/>
        </w:rPr>
        <w:drawing>
          <wp:inline distT="0" distB="0" distL="0" distR="0">
            <wp:extent cx="3949101" cy="2961826"/>
            <wp:effectExtent l="19050" t="0" r="0" b="0"/>
            <wp:docPr id="1" name="Grafik 0" descr="DSC00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28.JPG"/>
                    <pic:cNvPicPr/>
                  </pic:nvPicPr>
                  <pic:blipFill>
                    <a:blip r:embed="rId17" cstate="print"/>
                    <a:stretch>
                      <a:fillRect/>
                    </a:stretch>
                  </pic:blipFill>
                  <pic:spPr>
                    <a:xfrm>
                      <a:off x="0" y="0"/>
                      <a:ext cx="3951811" cy="2963858"/>
                    </a:xfrm>
                    <a:prstGeom prst="rect">
                      <a:avLst/>
                    </a:prstGeom>
                  </pic:spPr>
                </pic:pic>
              </a:graphicData>
            </a:graphic>
          </wp:inline>
        </w:drawing>
      </w:r>
    </w:p>
    <w:p w:rsidR="00271712" w:rsidRDefault="00271712" w:rsidP="00271712">
      <w:pPr>
        <w:pStyle w:val="Textkrper-Erstzeileneinzug2"/>
        <w:ind w:left="0" w:firstLine="0"/>
      </w:pPr>
      <w:r>
        <w:t>Beobachtung:</w:t>
      </w:r>
      <w:r>
        <w:tab/>
        <w:t xml:space="preserve">           Nach einiger Zeit färbt sich das orangene Pulver grün.</w:t>
      </w:r>
    </w:p>
    <w:p w:rsidR="00271712" w:rsidRDefault="00271712" w:rsidP="00271712">
      <w:pPr>
        <w:keepNext/>
        <w:tabs>
          <w:tab w:val="left" w:pos="1701"/>
          <w:tab w:val="left" w:pos="1985"/>
        </w:tabs>
        <w:ind w:left="1980" w:hanging="1980"/>
        <w:jc w:val="center"/>
      </w:pPr>
      <w:r>
        <w:rPr>
          <w:noProof/>
          <w:lang w:eastAsia="de-DE"/>
        </w:rPr>
        <w:drawing>
          <wp:inline distT="0" distB="0" distL="0" distR="0">
            <wp:extent cx="2997120" cy="2247840"/>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tretch>
                      <a:fillRect/>
                    </a:stretch>
                  </pic:blipFill>
                  <pic:spPr bwMode="auto">
                    <a:xfrm>
                      <a:off x="0" y="0"/>
                      <a:ext cx="2997120" cy="2247840"/>
                    </a:xfrm>
                    <a:prstGeom prst="rect">
                      <a:avLst/>
                    </a:prstGeom>
                    <a:noFill/>
                    <a:ln w="9525">
                      <a:noFill/>
                      <a:miter lim="800000"/>
                      <a:headEnd/>
                      <a:tailEnd/>
                    </a:ln>
                  </pic:spPr>
                </pic:pic>
              </a:graphicData>
            </a:graphic>
          </wp:inline>
        </w:drawing>
      </w:r>
    </w:p>
    <w:p w:rsidR="00271712" w:rsidRDefault="00271712" w:rsidP="00271712">
      <w:pPr>
        <w:pStyle w:val="Beschriftung"/>
        <w:ind w:left="1416" w:firstLine="708"/>
        <w:jc w:val="left"/>
      </w:pPr>
      <w:r>
        <w:t xml:space="preserve">Abb. </w:t>
      </w:r>
      <w:fldSimple w:instr=" SEQ Abb. \* ARABIC ">
        <w:r>
          <w:rPr>
            <w:noProof/>
          </w:rPr>
          <w:t>1</w:t>
        </w:r>
      </w:fldSimple>
      <w:r>
        <w:t xml:space="preserve"> - </w:t>
      </w:r>
      <w:r>
        <w:rPr>
          <w:noProof/>
        </w:rPr>
        <w:t xml:space="preserve"> Kaliumdichromatgemisch nach Alkoholzugabe.</w:t>
      </w:r>
    </w:p>
    <w:p w:rsidR="00271712" w:rsidRDefault="00271712" w:rsidP="00271712">
      <w:pPr>
        <w:pStyle w:val="Textkrper-Erstzeileneinzug2"/>
        <w:ind w:left="2124" w:hanging="2124"/>
      </w:pPr>
      <w:r>
        <w:t>Deutung:</w:t>
      </w:r>
      <w:r>
        <w:tab/>
        <w:t xml:space="preserve">Es findet eine </w:t>
      </w:r>
      <w:proofErr w:type="spellStart"/>
      <w:r>
        <w:t>Redox</w:t>
      </w:r>
      <w:proofErr w:type="spellEnd"/>
      <w:r>
        <w:t xml:space="preserve">-Reaktion statt. Das </w:t>
      </w:r>
      <w:proofErr w:type="spellStart"/>
      <w:r>
        <w:t>Kaliumdichromat</w:t>
      </w:r>
      <w:proofErr w:type="spellEnd"/>
      <w:r>
        <w:t xml:space="preserve"> wird zu Chrom-Ionen reduziert:</w:t>
      </w:r>
    </w:p>
    <w:p w:rsidR="00271712" w:rsidRPr="00555384" w:rsidRDefault="00E47958" w:rsidP="00271712">
      <w:pPr>
        <w:pStyle w:val="Textkrper-Erstzeileneinzug2"/>
        <w:rPr>
          <w:i/>
        </w:rPr>
      </w:pPr>
      <m:oMathPara>
        <m:oMath>
          <m:sSub>
            <m:sSubPr>
              <m:ctrlPr>
                <w:rPr>
                  <w:rFonts w:ascii="Cambria Math" w:hAnsi="Cambria Math"/>
                  <w:i/>
                </w:rPr>
              </m:ctrlPr>
            </m:sSubPr>
            <m:e>
              <m:sSup>
                <m:sSupPr>
                  <m:ctrlPr>
                    <w:rPr>
                      <w:rFonts w:ascii="Cambria Math" w:hAnsi="Cambria Math"/>
                      <w:i/>
                    </w:rPr>
                  </m:ctrlPr>
                </m:sSupPr>
                <m:e>
                  <m:sSub>
                    <m:sSubPr>
                      <m:ctrlPr>
                        <w:rPr>
                          <w:rFonts w:ascii="Cambria Math" w:hAnsi="Cambria Math"/>
                          <w:i/>
                        </w:rPr>
                      </m:ctrlPr>
                    </m:sSubPr>
                    <m:e>
                      <m:r>
                        <w:rPr>
                          <w:rFonts w:ascii="Cambria Math" w:hAnsi="Cambria Math"/>
                        </w:rPr>
                        <m:t>Cr</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7</m:t>
                      </m:r>
                    </m:sub>
                  </m:sSub>
                </m:e>
                <m:sup>
                  <m:r>
                    <w:rPr>
                      <w:rFonts w:ascii="Cambria Math" w:hAnsi="Cambria Math"/>
                    </w:rPr>
                    <m:t>-</m:t>
                  </m:r>
                </m:sup>
              </m:sSup>
            </m:e>
            <m:sub>
              <m:r>
                <w:rPr>
                  <w:rFonts w:ascii="Cambria Math" w:hAnsi="Cambria Math"/>
                </w:rPr>
                <m:t>(aq)</m:t>
              </m:r>
            </m:sub>
          </m:sSub>
          <m:r>
            <w:rPr>
              <w:rFonts w:ascii="Cambria Math" w:hAnsi="Cambria Math"/>
            </w:rPr>
            <m:t>+</m:t>
          </m:r>
          <m:sSub>
            <m:sSubPr>
              <m:ctrlPr>
                <w:rPr>
                  <w:rFonts w:ascii="Cambria Math" w:hAnsi="Cambria Math"/>
                  <w:i/>
                </w:rPr>
              </m:ctrlPr>
            </m:sSubPr>
            <m:e>
              <m:r>
                <w:rPr>
                  <w:rFonts w:ascii="Cambria Math" w:hAnsi="Cambria Math"/>
                </w:rPr>
                <m:t xml:space="preserve">14 </m:t>
              </m:r>
              <m:sSup>
                <m:sSupPr>
                  <m:ctrlPr>
                    <w:rPr>
                      <w:rFonts w:ascii="Cambria Math" w:hAnsi="Cambria Math"/>
                      <w:i/>
                    </w:rPr>
                  </m:ctrlPr>
                </m:sSupPr>
                <m:e>
                  <m:r>
                    <w:rPr>
                      <w:rFonts w:ascii="Cambria Math" w:hAnsi="Cambria Math"/>
                    </w:rPr>
                    <m:t>H</m:t>
                  </m:r>
                </m:e>
                <m:sup>
                  <m:r>
                    <w:rPr>
                      <w:rFonts w:ascii="Cambria Math" w:hAnsi="Cambria Math"/>
                    </w:rPr>
                    <m:t>+</m:t>
                  </m:r>
                </m:sup>
              </m:sSup>
            </m:e>
            <m:sub>
              <m:r>
                <w:rPr>
                  <w:rFonts w:ascii="Cambria Math" w:hAnsi="Cambria Math"/>
                </w:rPr>
                <m:t>(aq)</m:t>
              </m:r>
            </m:sub>
          </m:sSub>
          <m:r>
            <w:rPr>
              <w:rFonts w:ascii="Cambria Math" w:hAnsi="Cambria Math"/>
            </w:rPr>
            <m:t xml:space="preserve"> +6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 </m:t>
          </m:r>
          <m:sSub>
            <m:sSubPr>
              <m:ctrlPr>
                <w:rPr>
                  <w:rFonts w:ascii="Cambria Math" w:hAnsi="Cambria Math"/>
                  <w:i/>
                </w:rPr>
              </m:ctrlPr>
            </m:sSubPr>
            <m:e>
              <m:sSup>
                <m:sSupPr>
                  <m:ctrlPr>
                    <w:rPr>
                      <w:rFonts w:ascii="Cambria Math" w:hAnsi="Cambria Math"/>
                      <w:i/>
                    </w:rPr>
                  </m:ctrlPr>
                </m:sSupPr>
                <m:e>
                  <m:r>
                    <w:rPr>
                      <w:rFonts w:ascii="Cambria Math" w:hAnsi="Cambria Math"/>
                    </w:rPr>
                    <m:t>2 Cr</m:t>
                  </m:r>
                </m:e>
                <m:sup>
                  <m:r>
                    <w:rPr>
                      <w:rFonts w:ascii="Cambria Math" w:hAnsi="Cambria Math"/>
                    </w:rPr>
                    <m:t>3+</m:t>
                  </m:r>
                </m:sup>
              </m:sSup>
            </m:e>
            <m:sub>
              <m:r>
                <w:rPr>
                  <w:rFonts w:ascii="Cambria Math" w:hAnsi="Cambria Math"/>
                </w:rPr>
                <m:t>(aq)</m:t>
              </m:r>
            </m:sub>
          </m:sSub>
          <m:r>
            <w:rPr>
              <w:rFonts w:ascii="Cambria Math" w:hAnsi="Cambria Math"/>
            </w:rPr>
            <m:t xml:space="preserve"> + </m:t>
          </m:r>
          <m:sSub>
            <m:sSubPr>
              <m:ctrlPr>
                <w:rPr>
                  <w:rFonts w:ascii="Cambria Math" w:hAnsi="Cambria Math"/>
                  <w:i/>
                </w:rPr>
              </m:ctrlPr>
            </m:sSubPr>
            <m:e>
              <m:sSub>
                <m:sSubPr>
                  <m:ctrlPr>
                    <w:rPr>
                      <w:rFonts w:ascii="Cambria Math" w:hAnsi="Cambria Math"/>
                      <w:i/>
                    </w:rPr>
                  </m:ctrlPr>
                </m:sSubPr>
                <m:e>
                  <m:r>
                    <w:rPr>
                      <w:rFonts w:ascii="Cambria Math" w:hAnsi="Cambria Math"/>
                    </w:rPr>
                    <m:t>7 H</m:t>
                  </m:r>
                </m:e>
                <m:sub>
                  <m:r>
                    <w:rPr>
                      <w:rFonts w:ascii="Cambria Math" w:hAnsi="Cambria Math"/>
                    </w:rPr>
                    <m:t>2</m:t>
                  </m:r>
                </m:sub>
              </m:sSub>
              <m:r>
                <w:rPr>
                  <w:rFonts w:ascii="Cambria Math" w:hAnsi="Cambria Math"/>
                </w:rPr>
                <m:t>O</m:t>
              </m:r>
            </m:e>
            <m:sub>
              <m:r>
                <w:rPr>
                  <w:rFonts w:ascii="Cambria Math" w:hAnsi="Cambria Math"/>
                </w:rPr>
                <m:t>(l)</m:t>
              </m:r>
            </m:sub>
          </m:sSub>
        </m:oMath>
      </m:oMathPara>
    </w:p>
    <w:p w:rsidR="00271712" w:rsidRDefault="00271712" w:rsidP="00271712">
      <w:pPr>
        <w:tabs>
          <w:tab w:val="left" w:pos="1701"/>
          <w:tab w:val="left" w:pos="1985"/>
        </w:tabs>
        <w:ind w:left="2124" w:hanging="2124"/>
        <w:rPr>
          <w:rFonts w:eastAsiaTheme="minorEastAsia"/>
        </w:rPr>
      </w:pPr>
      <w:r>
        <w:rPr>
          <w:rFonts w:eastAsiaTheme="minorEastAsia"/>
        </w:rPr>
        <w:t xml:space="preserve">Entsorgung: </w:t>
      </w:r>
      <w:r>
        <w:rPr>
          <w:rFonts w:eastAsiaTheme="minorEastAsia"/>
        </w:rPr>
        <w:tab/>
      </w:r>
      <w:r>
        <w:rPr>
          <w:rFonts w:eastAsiaTheme="minorEastAsia"/>
        </w:rPr>
        <w:tab/>
      </w:r>
      <w:r>
        <w:rPr>
          <w:rFonts w:eastAsiaTheme="minorEastAsia"/>
        </w:rPr>
        <w:tab/>
        <w:t xml:space="preserve">Die </w:t>
      </w:r>
      <w:proofErr w:type="spellStart"/>
      <w:r>
        <w:rPr>
          <w:rFonts w:eastAsiaTheme="minorEastAsia"/>
        </w:rPr>
        <w:t>Kaliumdichromat</w:t>
      </w:r>
      <w:proofErr w:type="spellEnd"/>
      <w:r>
        <w:rPr>
          <w:rFonts w:eastAsiaTheme="minorEastAsia"/>
        </w:rPr>
        <w:t>-Reste werden in Wasser gelöst und in den Schwermetallbehälter gegeben.</w:t>
      </w:r>
    </w:p>
    <w:p w:rsidR="00271712" w:rsidRDefault="00271712" w:rsidP="00271712">
      <w:pPr>
        <w:spacing w:line="276" w:lineRule="auto"/>
        <w:jc w:val="left"/>
      </w:pPr>
      <w:r w:rsidRPr="007B782A">
        <w:t>Literatur:</w:t>
      </w:r>
      <w:r w:rsidRPr="007B782A">
        <w:tab/>
      </w:r>
      <w:r>
        <w:tab/>
      </w:r>
      <w:r w:rsidRPr="004A6E59">
        <w:t>www.chemieunterricht.de/dc2/r-oh/</w:t>
      </w:r>
      <w:r>
        <w:t xml:space="preserve"> zu</w:t>
      </w:r>
      <w:r w:rsidRPr="007B782A">
        <w:t>letz</w:t>
      </w:r>
      <w:r>
        <w:t>t abgerufen am 04. 08.13.</w:t>
      </w:r>
    </w:p>
    <w:p w:rsidR="00271712" w:rsidRPr="007B782A" w:rsidRDefault="00271712" w:rsidP="00271712">
      <w:pPr>
        <w:spacing w:line="276" w:lineRule="auto"/>
        <w:ind w:left="2124" w:firstLine="6"/>
        <w:jc w:val="left"/>
        <w:rPr>
          <w:rFonts w:asciiTheme="majorHAnsi" w:hAnsiTheme="majorHAnsi"/>
        </w:rPr>
      </w:pPr>
      <w:r>
        <w:lastRenderedPageBreak/>
        <w:t xml:space="preserve">Wambach, H. (Hrsg.), Materialien-Handbuch Chemie. Band 2 - Organische Chemie, </w:t>
      </w:r>
      <w:proofErr w:type="spellStart"/>
      <w:r>
        <w:t>Aulis</w:t>
      </w:r>
      <w:proofErr w:type="spellEnd"/>
      <w:r>
        <w:t xml:space="preserve"> Verlag 1991, S.168f.</w:t>
      </w:r>
    </w:p>
    <w:p w:rsidR="004465A0" w:rsidRDefault="00E47958" w:rsidP="00271712">
      <w:r>
        <w:pict>
          <v:shape id="_x0000_s1028" type="#_x0000_t202" style="width:462.45pt;height:160.2pt;mso-position-horizontal-relative:char;mso-position-vertical-relative:line;mso-width-relative:margin;mso-height-relative:margin" fillcolor="white [3201]" strokecolor="#c0504d [3205]" strokeweight="1pt">
            <v:stroke dashstyle="dash"/>
            <v:shadow color="#868686"/>
            <v:textbox style="mso-next-textbox:#_x0000_s1028">
              <w:txbxContent>
                <w:p w:rsidR="00271712" w:rsidRPr="007B782A" w:rsidRDefault="00271712" w:rsidP="00271712">
                  <w:pPr>
                    <w:rPr>
                      <w:color w:val="auto"/>
                    </w:rPr>
                  </w:pPr>
                  <w:r w:rsidRPr="000411E2">
                    <w:rPr>
                      <w:b/>
                      <w:color w:val="auto"/>
                    </w:rPr>
                    <w:t>Achtung:</w:t>
                  </w:r>
                  <w:r w:rsidRPr="000411E2">
                    <w:rPr>
                      <w:color w:val="auto"/>
                    </w:rPr>
                    <w:t xml:space="preserve"> Für </w:t>
                  </w:r>
                  <w:proofErr w:type="spellStart"/>
                  <w:r w:rsidRPr="000411E2">
                    <w:rPr>
                      <w:color w:val="auto"/>
                    </w:rPr>
                    <w:t>Kaliumdichromat</w:t>
                  </w:r>
                  <w:proofErr w:type="spellEnd"/>
                  <w:r w:rsidRPr="000411E2">
                    <w:rPr>
                      <w:color w:val="auto"/>
                    </w:rPr>
                    <w:t xml:space="preserve"> besteht inzwischen ein Tätigkeitsverbot in Schulen. Für diesen Versuch sollte daher ein anderes Oxidationsmittel verwendet werden wie z.</w:t>
                  </w:r>
                  <w:r>
                    <w:rPr>
                      <w:color w:val="auto"/>
                    </w:rPr>
                    <w:t xml:space="preserve"> </w:t>
                  </w:r>
                  <w:r w:rsidRPr="000411E2">
                    <w:rPr>
                      <w:color w:val="auto"/>
                    </w:rPr>
                    <w:t>B. Kaliumpermanganat.</w:t>
                  </w:r>
                  <w:r>
                    <w:rPr>
                      <w:color w:val="auto"/>
                    </w:rPr>
                    <w:t xml:space="preserve"> </w:t>
                  </w:r>
                  <w:r w:rsidRPr="007B782A">
                    <w:rPr>
                      <w:color w:val="auto"/>
                    </w:rPr>
                    <w:t>Statt ein Vakuum</w:t>
                  </w:r>
                  <w:r>
                    <w:rPr>
                      <w:color w:val="auto"/>
                    </w:rPr>
                    <w:t xml:space="preserve"> zu erzeugen,</w:t>
                  </w:r>
                  <w:r w:rsidRPr="007B782A">
                    <w:rPr>
                      <w:color w:val="auto"/>
                    </w:rPr>
                    <w:t xml:space="preserve"> können die </w:t>
                  </w:r>
                  <w:proofErr w:type="spellStart"/>
                  <w:r w:rsidRPr="007B782A">
                    <w:rPr>
                      <w:color w:val="auto"/>
                    </w:rPr>
                    <w:t>Ethanoldämpfe</w:t>
                  </w:r>
                  <w:proofErr w:type="spellEnd"/>
                  <w:r w:rsidRPr="007B782A">
                    <w:rPr>
                      <w:color w:val="auto"/>
                    </w:rPr>
                    <w:t xml:space="preserve"> auch mittels eines Blasebalgs durch das Rohr gepustet werden. Es kann an dieser Stelle entschieden werden, ob die Aldehyde als Oxidationsprodukt von sekundären Alkoholen eingeführt werden sollen oder nicht. Diese könnten dann z.</w:t>
                  </w:r>
                  <w:r>
                    <w:rPr>
                      <w:color w:val="auto"/>
                    </w:rPr>
                    <w:t> </w:t>
                  </w:r>
                  <w:r w:rsidRPr="007B782A">
                    <w:rPr>
                      <w:color w:val="auto"/>
                    </w:rPr>
                    <w:t>B. anhand der Fehling-Probe nachgewiesen</w:t>
                  </w:r>
                  <w:r>
                    <w:rPr>
                      <w:color w:val="auto"/>
                    </w:rPr>
                    <w:t xml:space="preserve"> werden. Hier wurde die Deutung</w:t>
                  </w:r>
                  <w:r w:rsidRPr="007B782A">
                    <w:rPr>
                      <w:color w:val="auto"/>
                    </w:rPr>
                    <w:t xml:space="preserve"> um diese Auswertung reduziert. Es kann darüber hinaus auf heutige</w:t>
                  </w:r>
                  <w:r>
                    <w:rPr>
                      <w:color w:val="auto"/>
                    </w:rPr>
                    <w:t>n</w:t>
                  </w:r>
                  <w:r w:rsidRPr="007B782A">
                    <w:rPr>
                      <w:color w:val="auto"/>
                    </w:rPr>
                    <w:t xml:space="preserve"> Verfahren der Alkoholgehaltsbestimmung bei Autofahrern eingegangen werden.</w:t>
                  </w:r>
                  <w:r>
                    <w:rPr>
                      <w:color w:val="auto"/>
                    </w:rPr>
                    <w:t xml:space="preserve"> </w:t>
                  </w:r>
                </w:p>
              </w:txbxContent>
            </v:textbox>
            <w10:wrap type="none"/>
            <w10:anchorlock/>
          </v:shape>
        </w:pict>
      </w:r>
    </w:p>
    <w:sectPr w:rsidR="004465A0" w:rsidSect="004465A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7C0" w:rsidRDefault="000447C0" w:rsidP="009B68AD">
      <w:pPr>
        <w:spacing w:after="0" w:line="240" w:lineRule="auto"/>
      </w:pPr>
      <w:r>
        <w:separator/>
      </w:r>
    </w:p>
  </w:endnote>
  <w:endnote w:type="continuationSeparator" w:id="0">
    <w:p w:rsidR="000447C0" w:rsidRDefault="000447C0" w:rsidP="009B6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7C0" w:rsidRDefault="000447C0" w:rsidP="009B68AD">
      <w:pPr>
        <w:spacing w:after="0" w:line="240" w:lineRule="auto"/>
      </w:pPr>
      <w:r>
        <w:separator/>
      </w:r>
    </w:p>
  </w:footnote>
  <w:footnote w:type="continuationSeparator" w:id="0">
    <w:p w:rsidR="000447C0" w:rsidRDefault="000447C0" w:rsidP="009B6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9B68AD" w:rsidRDefault="009B68AD" w:rsidP="009B68AD">
        <w:pPr>
          <w:pStyle w:val="Kopfzeile"/>
          <w:tabs>
            <w:tab w:val="left" w:pos="0"/>
            <w:tab w:val="left" w:pos="284"/>
          </w:tabs>
          <w:jc w:val="right"/>
          <w:rPr>
            <w:rFonts w:asciiTheme="majorHAnsi" w:hAnsiTheme="majorHAnsi"/>
            <w:sz w:val="20"/>
            <w:szCs w:val="20"/>
          </w:rPr>
        </w:pPr>
        <w:fldSimple w:instr=" STYLEREF  &quot;Überschrift 1&quot;  \* MERGEFORMAT ">
          <w:r w:rsidRPr="009B68AD">
            <w:rPr>
              <w:b/>
              <w:bCs/>
              <w:noProof/>
            </w:rPr>
            <w:t>V 1 – Der Alkotest im Modell</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2</w:t>
        </w:r>
        <w:r>
          <w:rPr>
            <w:rFonts w:asciiTheme="majorHAnsi" w:hAnsiTheme="majorHAnsi"/>
            <w:sz w:val="20"/>
            <w:szCs w:val="20"/>
          </w:rPr>
          <w:fldChar w:fldCharType="end"/>
        </w:r>
      </w:p>
    </w:sdtContent>
  </w:sdt>
  <w:p w:rsidR="009B68AD" w:rsidRDefault="009B68AD" w:rsidP="009B68AD">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58240" o:connectortype="straight"/>
      </w:pict>
    </w:r>
  </w:p>
  <w:p w:rsidR="009B68AD" w:rsidRDefault="009B68A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271712"/>
    <w:rsid w:val="000447C0"/>
    <w:rsid w:val="00271712"/>
    <w:rsid w:val="00293ED5"/>
    <w:rsid w:val="00352183"/>
    <w:rsid w:val="004465A0"/>
    <w:rsid w:val="009B68AD"/>
    <w:rsid w:val="00DC7166"/>
    <w:rsid w:val="00E47958"/>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71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7171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7171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7171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717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717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717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717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717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717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171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7171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7171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717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717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717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717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717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7171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71712"/>
    <w:pPr>
      <w:spacing w:line="240" w:lineRule="auto"/>
    </w:pPr>
    <w:rPr>
      <w:bCs/>
      <w:color w:val="auto"/>
      <w:sz w:val="18"/>
      <w:szCs w:val="18"/>
    </w:rPr>
  </w:style>
  <w:style w:type="paragraph" w:styleId="Textkrper-Zeileneinzug">
    <w:name w:val="Body Text Indent"/>
    <w:basedOn w:val="Standard"/>
    <w:link w:val="Textkrper-ZeileneinzugZchn"/>
    <w:uiPriority w:val="99"/>
    <w:semiHidden/>
    <w:unhideWhenUsed/>
    <w:rsid w:val="00271712"/>
    <w:pPr>
      <w:spacing w:after="120"/>
      <w:ind w:left="283"/>
    </w:pPr>
  </w:style>
  <w:style w:type="character" w:customStyle="1" w:styleId="Textkrper-ZeileneinzugZchn">
    <w:name w:val="Textkörper-Zeileneinzug Zchn"/>
    <w:basedOn w:val="Absatz-Standardschriftart"/>
    <w:link w:val="Textkrper-Zeileneinzug"/>
    <w:uiPriority w:val="99"/>
    <w:semiHidden/>
    <w:rsid w:val="00271712"/>
    <w:rPr>
      <w:rFonts w:ascii="Cambria" w:hAnsi="Cambria"/>
      <w:color w:val="1D1B11" w:themeColor="background2" w:themeShade="1A"/>
    </w:rPr>
  </w:style>
  <w:style w:type="paragraph" w:styleId="Textkrper-Erstzeileneinzug2">
    <w:name w:val="Body Text First Indent 2"/>
    <w:basedOn w:val="Textkrper-Zeileneinzug"/>
    <w:link w:val="Textkrper-Erstzeileneinzug2Zchn"/>
    <w:uiPriority w:val="99"/>
    <w:unhideWhenUsed/>
    <w:rsid w:val="00271712"/>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271712"/>
  </w:style>
  <w:style w:type="paragraph" w:styleId="Sprechblasentext">
    <w:name w:val="Balloon Text"/>
    <w:basedOn w:val="Standard"/>
    <w:link w:val="SprechblasentextZchn"/>
    <w:uiPriority w:val="99"/>
    <w:semiHidden/>
    <w:unhideWhenUsed/>
    <w:rsid w:val="002717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1712"/>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9B68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B68AD"/>
    <w:rPr>
      <w:rFonts w:ascii="Cambria" w:hAnsi="Cambria"/>
      <w:color w:val="1D1B11" w:themeColor="background2" w:themeShade="1A"/>
    </w:rPr>
  </w:style>
  <w:style w:type="paragraph" w:styleId="Fuzeile">
    <w:name w:val="footer"/>
    <w:basedOn w:val="Standard"/>
    <w:link w:val="FuzeileZchn"/>
    <w:uiPriority w:val="99"/>
    <w:semiHidden/>
    <w:unhideWhenUsed/>
    <w:rsid w:val="009B68A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B68AD"/>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67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8D0AC-A5E6-4A6A-915D-AA97245A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1646</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2013-08-13T18:24:00Z</dcterms:created>
  <dcterms:modified xsi:type="dcterms:W3CDTF">2013-08-14T18:29:00Z</dcterms:modified>
</cp:coreProperties>
</file>