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80D" w:rsidRPr="0056480D" w:rsidRDefault="002A7A54" w:rsidP="00C710D0">
      <w:pPr>
        <w:pStyle w:val="berschrift1"/>
        <w:numPr>
          <w:ilvl w:val="0"/>
          <w:numId w:val="0"/>
        </w:numPr>
        <w:jc w:val="center"/>
        <w:rPr>
          <w:sz w:val="40"/>
          <w:szCs w:val="40"/>
          <w:u w:val="single"/>
        </w:rPr>
      </w:pPr>
      <w:r>
        <w:rPr>
          <w:noProof/>
          <w:sz w:val="40"/>
          <w:szCs w:val="40"/>
          <w:u w:val="single"/>
          <w:lang w:eastAsia="de-DE"/>
        </w:rPr>
        <w:pict>
          <v:shapetype id="_x0000_t202" coordsize="21600,21600" o:spt="202" path="m,l,21600r21600,l21600,xe">
            <v:stroke joinstyle="miter"/>
            <v:path gradientshapeok="t" o:connecttype="rect"/>
          </v:shapetype>
          <v:shape id="_x0000_s1029" type="#_x0000_t202" style="position:absolute;left:0;text-align:left;margin-left:-.05pt;margin-top:67.95pt;width:462.45pt;height:61.4pt;z-index:251660288;mso-width-relative:margin;mso-height-relative:margin" fillcolor="white [3201]" strokecolor="#4bacc6 [3208]" strokeweight="1pt">
            <v:stroke dashstyle="dash"/>
            <v:shadow color="#868686"/>
            <v:textbox style="mso-next-textbox:#_x0000_s1029">
              <w:txbxContent>
                <w:p w:rsidR="0056480D" w:rsidRPr="000411E2" w:rsidRDefault="0056480D" w:rsidP="0056480D">
                  <w:pPr>
                    <w:rPr>
                      <w:color w:val="auto"/>
                    </w:rPr>
                  </w:pPr>
                  <w:r w:rsidRPr="000411E2">
                    <w:rPr>
                      <w:color w:val="auto"/>
                    </w:rPr>
                    <w:t xml:space="preserve">Im folgenden Versuch soll </w:t>
                  </w:r>
                  <w:r>
                    <w:rPr>
                      <w:color w:val="auto"/>
                    </w:rPr>
                    <w:t>der klassische Weg der Alkoholherstellung, die alkoholische Gärung dargestellt werden. Dazu müssen die SuS kaum Vorwissen mitbringen, alle wesentlichen Dinge lassen sich am Versuch zeigen und erarbeiten.</w:t>
                  </w:r>
                </w:p>
              </w:txbxContent>
            </v:textbox>
            <w10:wrap type="square"/>
          </v:shape>
        </w:pict>
      </w:r>
      <w:bookmarkStart w:id="0" w:name="_Toc363541059"/>
      <w:r w:rsidR="0056480D" w:rsidRPr="0056480D">
        <w:rPr>
          <w:sz w:val="40"/>
          <w:szCs w:val="40"/>
          <w:u w:val="single"/>
        </w:rPr>
        <w:t xml:space="preserve">V </w:t>
      </w:r>
      <w:r w:rsidR="0056480D">
        <w:rPr>
          <w:sz w:val="40"/>
          <w:szCs w:val="40"/>
          <w:u w:val="single"/>
        </w:rPr>
        <w:t>6</w:t>
      </w:r>
      <w:r w:rsidR="0056480D" w:rsidRPr="0056480D">
        <w:rPr>
          <w:sz w:val="40"/>
          <w:szCs w:val="40"/>
          <w:u w:val="single"/>
        </w:rPr>
        <w:t xml:space="preserve"> – Die Alkoholische Gärung</w:t>
      </w:r>
      <w:bookmarkEnd w:id="0"/>
    </w:p>
    <w:p w:rsidR="0056480D" w:rsidRDefault="0056480D" w:rsidP="0056480D">
      <w:pPr>
        <w:ind w:left="708"/>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6480D" w:rsidRPr="009C5E28" w:rsidTr="00FE2F8F">
        <w:tc>
          <w:tcPr>
            <w:tcW w:w="9322" w:type="dxa"/>
            <w:gridSpan w:val="9"/>
            <w:shd w:val="clear" w:color="auto" w:fill="4F81BD"/>
            <w:vAlign w:val="center"/>
          </w:tcPr>
          <w:p w:rsidR="0056480D" w:rsidRPr="009C5E28" w:rsidRDefault="0056480D" w:rsidP="00FE2F8F">
            <w:pPr>
              <w:spacing w:after="0"/>
              <w:jc w:val="center"/>
              <w:rPr>
                <w:b/>
                <w:bCs/>
              </w:rPr>
            </w:pPr>
            <w:r w:rsidRPr="009C5E28">
              <w:rPr>
                <w:b/>
                <w:bCs/>
              </w:rPr>
              <w:t>Gefahrenstoffe</w:t>
            </w:r>
          </w:p>
        </w:tc>
      </w:tr>
      <w:tr w:rsidR="0056480D" w:rsidRPr="009C5E28" w:rsidTr="00FE2F8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480D" w:rsidRPr="000E14B4" w:rsidRDefault="0056480D" w:rsidP="00FE2F8F">
            <w:pPr>
              <w:spacing w:after="0" w:line="276" w:lineRule="auto"/>
              <w:jc w:val="center"/>
              <w:rPr>
                <w:bCs/>
              </w:rPr>
            </w:pPr>
            <w:r>
              <w:rPr>
                <w:bCs/>
              </w:rPr>
              <w:t>Traubenzucker</w:t>
            </w:r>
          </w:p>
        </w:tc>
        <w:tc>
          <w:tcPr>
            <w:tcW w:w="3177" w:type="dxa"/>
            <w:gridSpan w:val="3"/>
            <w:tcBorders>
              <w:top w:val="single" w:sz="8" w:space="0" w:color="4F81BD"/>
              <w:bottom w:val="single" w:sz="8" w:space="0" w:color="4F81BD"/>
            </w:tcBorders>
            <w:shd w:val="clear" w:color="auto" w:fill="auto"/>
            <w:vAlign w:val="center"/>
          </w:tcPr>
          <w:p w:rsidR="0056480D" w:rsidRPr="009C5E28" w:rsidRDefault="0056480D" w:rsidP="00FE2F8F">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480D" w:rsidRPr="009C5E28" w:rsidRDefault="0056480D" w:rsidP="00FE2F8F">
            <w:pPr>
              <w:spacing w:after="0"/>
              <w:jc w:val="center"/>
            </w:pPr>
            <w:r>
              <w:t>/</w:t>
            </w:r>
          </w:p>
        </w:tc>
      </w:tr>
      <w:tr w:rsidR="0056480D" w:rsidRPr="009C5E28" w:rsidTr="00FE2F8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480D" w:rsidRDefault="0056480D" w:rsidP="00FE2F8F">
            <w:pPr>
              <w:spacing w:after="0" w:line="276" w:lineRule="auto"/>
              <w:jc w:val="center"/>
              <w:rPr>
                <w:bCs/>
              </w:rPr>
            </w:pPr>
            <w:r>
              <w:rPr>
                <w:bCs/>
              </w:rPr>
              <w:t>Kalkwasser</w:t>
            </w:r>
          </w:p>
        </w:tc>
        <w:tc>
          <w:tcPr>
            <w:tcW w:w="3177" w:type="dxa"/>
            <w:gridSpan w:val="3"/>
            <w:tcBorders>
              <w:top w:val="single" w:sz="8" w:space="0" w:color="4F81BD"/>
              <w:bottom w:val="single" w:sz="8" w:space="0" w:color="4F81BD"/>
            </w:tcBorders>
            <w:shd w:val="clear" w:color="auto" w:fill="auto"/>
            <w:vAlign w:val="center"/>
          </w:tcPr>
          <w:p w:rsidR="0056480D" w:rsidRDefault="0056480D" w:rsidP="00FE2F8F">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480D" w:rsidRDefault="0056480D" w:rsidP="00FE2F8F">
            <w:pPr>
              <w:spacing w:after="0"/>
              <w:jc w:val="center"/>
            </w:pPr>
            <w:r>
              <w:t>/</w:t>
            </w:r>
          </w:p>
        </w:tc>
      </w:tr>
      <w:tr w:rsidR="0056480D" w:rsidRPr="009C5E28" w:rsidTr="00FE2F8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6480D" w:rsidRDefault="0056480D" w:rsidP="00FE2F8F">
            <w:pPr>
              <w:spacing w:after="0" w:line="276" w:lineRule="auto"/>
              <w:jc w:val="center"/>
              <w:rPr>
                <w:bCs/>
              </w:rPr>
            </w:pPr>
            <w:r>
              <w:rPr>
                <w:bCs/>
              </w:rPr>
              <w:t>Hefe</w:t>
            </w:r>
          </w:p>
        </w:tc>
        <w:tc>
          <w:tcPr>
            <w:tcW w:w="3177" w:type="dxa"/>
            <w:gridSpan w:val="3"/>
            <w:tcBorders>
              <w:top w:val="single" w:sz="8" w:space="0" w:color="4F81BD"/>
              <w:bottom w:val="single" w:sz="8" w:space="0" w:color="4F81BD"/>
            </w:tcBorders>
            <w:shd w:val="clear" w:color="auto" w:fill="auto"/>
            <w:vAlign w:val="center"/>
          </w:tcPr>
          <w:p w:rsidR="0056480D" w:rsidRDefault="0056480D" w:rsidP="00FE2F8F">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6480D" w:rsidRDefault="0056480D" w:rsidP="00FE2F8F">
            <w:pPr>
              <w:spacing w:after="0"/>
              <w:jc w:val="center"/>
            </w:pPr>
            <w:r>
              <w:t>/</w:t>
            </w:r>
          </w:p>
        </w:tc>
      </w:tr>
      <w:tr w:rsidR="0056480D" w:rsidRPr="009C5E28" w:rsidTr="00FE2F8F">
        <w:tc>
          <w:tcPr>
            <w:tcW w:w="1009" w:type="dxa"/>
            <w:tcBorders>
              <w:top w:val="single" w:sz="8" w:space="0" w:color="4F81BD"/>
              <w:left w:val="single" w:sz="8" w:space="0" w:color="4F81BD"/>
              <w:bottom w:val="single" w:sz="8" w:space="0" w:color="4F81BD"/>
            </w:tcBorders>
            <w:shd w:val="clear" w:color="auto" w:fill="auto"/>
            <w:vAlign w:val="center"/>
          </w:tcPr>
          <w:p w:rsidR="0056480D" w:rsidRPr="009C5E28" w:rsidRDefault="0056480D" w:rsidP="00FE2F8F">
            <w:pPr>
              <w:spacing w:after="0"/>
              <w:jc w:val="center"/>
              <w:rPr>
                <w:b/>
                <w:bCs/>
              </w:rPr>
            </w:pPr>
            <w:r>
              <w:rPr>
                <w:b/>
                <w:noProof/>
                <w:lang w:eastAsia="de-DE"/>
              </w:rPr>
              <w:drawing>
                <wp:inline distT="0" distB="0" distL="0" distR="0">
                  <wp:extent cx="504190" cy="504190"/>
                  <wp:effectExtent l="19050" t="0" r="0" b="0"/>
                  <wp:docPr id="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480D" w:rsidRPr="009C5E28" w:rsidRDefault="0056480D" w:rsidP="00FE2F8F">
            <w:pPr>
              <w:spacing w:after="0"/>
              <w:jc w:val="center"/>
            </w:pPr>
            <w:r>
              <w:rPr>
                <w:noProof/>
                <w:lang w:eastAsia="de-DE"/>
              </w:rPr>
              <w:drawing>
                <wp:inline distT="0" distB="0" distL="0" distR="0">
                  <wp:extent cx="504190" cy="504190"/>
                  <wp:effectExtent l="19050" t="0" r="0" b="0"/>
                  <wp:docPr id="2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480D" w:rsidRPr="009C5E28" w:rsidRDefault="0056480D" w:rsidP="00FE2F8F">
            <w:pPr>
              <w:spacing w:after="0"/>
              <w:jc w:val="center"/>
            </w:pPr>
            <w:r>
              <w:rPr>
                <w:noProof/>
                <w:lang w:eastAsia="de-DE"/>
              </w:rPr>
              <w:drawing>
                <wp:inline distT="0" distB="0" distL="0" distR="0">
                  <wp:extent cx="504190" cy="504190"/>
                  <wp:effectExtent l="19050" t="0" r="0" b="0"/>
                  <wp:docPr id="3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480D" w:rsidRPr="009C5E28" w:rsidRDefault="0056480D" w:rsidP="00FE2F8F">
            <w:pPr>
              <w:spacing w:after="0"/>
              <w:jc w:val="center"/>
            </w:pPr>
            <w:r>
              <w:rPr>
                <w:noProof/>
                <w:lang w:eastAsia="de-DE"/>
              </w:rPr>
              <w:drawing>
                <wp:inline distT="0" distB="0" distL="0" distR="0">
                  <wp:extent cx="504190" cy="504190"/>
                  <wp:effectExtent l="0" t="0" r="0" b="0"/>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6480D" w:rsidRPr="009C5E28" w:rsidRDefault="0056480D" w:rsidP="00FE2F8F">
            <w:pPr>
              <w:spacing w:after="0"/>
              <w:jc w:val="center"/>
            </w:pPr>
            <w:r>
              <w:rPr>
                <w:noProof/>
                <w:lang w:eastAsia="de-DE"/>
              </w:rPr>
              <w:drawing>
                <wp:inline distT="0" distB="0" distL="0" distR="0">
                  <wp:extent cx="504190" cy="504190"/>
                  <wp:effectExtent l="0" t="0" r="0" b="0"/>
                  <wp:docPr id="6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6480D" w:rsidRPr="009C5E28" w:rsidRDefault="0056480D" w:rsidP="00FE2F8F">
            <w:pPr>
              <w:spacing w:after="0"/>
              <w:jc w:val="center"/>
            </w:pPr>
            <w:r>
              <w:rPr>
                <w:noProof/>
                <w:lang w:eastAsia="de-DE"/>
              </w:rPr>
              <w:drawing>
                <wp:inline distT="0" distB="0" distL="0" distR="0">
                  <wp:extent cx="504190" cy="504190"/>
                  <wp:effectExtent l="19050" t="0" r="0" b="0"/>
                  <wp:docPr id="7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6480D" w:rsidRPr="009C5E28" w:rsidRDefault="0056480D" w:rsidP="00FE2F8F">
            <w:pPr>
              <w:spacing w:after="0"/>
              <w:jc w:val="center"/>
            </w:pPr>
            <w:r>
              <w:rPr>
                <w:noProof/>
                <w:lang w:eastAsia="de-DE"/>
              </w:rPr>
              <w:drawing>
                <wp:inline distT="0" distB="0" distL="0" distR="0">
                  <wp:extent cx="504190" cy="504190"/>
                  <wp:effectExtent l="19050" t="0" r="0" b="0"/>
                  <wp:docPr id="7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6480D" w:rsidRPr="009C5E28" w:rsidRDefault="0056480D" w:rsidP="00FE2F8F">
            <w:pPr>
              <w:spacing w:after="0"/>
              <w:jc w:val="center"/>
            </w:pPr>
            <w:r>
              <w:rPr>
                <w:noProof/>
                <w:lang w:eastAsia="de-DE"/>
              </w:rPr>
              <w:drawing>
                <wp:inline distT="0" distB="0" distL="0" distR="0">
                  <wp:extent cx="511175" cy="511175"/>
                  <wp:effectExtent l="19050" t="0" r="3175" b="0"/>
                  <wp:docPr id="7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6480D" w:rsidRPr="009C5E28" w:rsidRDefault="0056480D" w:rsidP="00FE2F8F">
            <w:pPr>
              <w:spacing w:after="0"/>
              <w:jc w:val="center"/>
            </w:pPr>
            <w:r>
              <w:rPr>
                <w:noProof/>
                <w:lang w:eastAsia="de-DE"/>
              </w:rPr>
              <w:drawing>
                <wp:inline distT="0" distB="0" distL="0" distR="0">
                  <wp:extent cx="504190" cy="504190"/>
                  <wp:effectExtent l="19050" t="0" r="0" b="0"/>
                  <wp:docPr id="7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56480D" w:rsidRDefault="0056480D" w:rsidP="0056480D">
      <w:pPr>
        <w:tabs>
          <w:tab w:val="left" w:pos="1701"/>
          <w:tab w:val="left" w:pos="1985"/>
        </w:tabs>
        <w:ind w:left="2688" w:hanging="1980"/>
      </w:pPr>
    </w:p>
    <w:p w:rsidR="0056480D" w:rsidRDefault="0056480D" w:rsidP="0056480D">
      <w:pPr>
        <w:tabs>
          <w:tab w:val="left" w:pos="1701"/>
          <w:tab w:val="left" w:pos="1985"/>
        </w:tabs>
        <w:ind w:left="1979" w:hanging="1980"/>
      </w:pPr>
      <w:r>
        <w:t xml:space="preserve">Materialien: </w:t>
      </w:r>
      <w:r>
        <w:tab/>
      </w:r>
      <w:r>
        <w:tab/>
        <w:t>Erlenmeyerkolben, durchbohrter Stopfen mit Gärröhrchen,</w:t>
      </w:r>
    </w:p>
    <w:p w:rsidR="0056480D" w:rsidRDefault="0056480D" w:rsidP="0056480D">
      <w:pPr>
        <w:tabs>
          <w:tab w:val="left" w:pos="1701"/>
          <w:tab w:val="left" w:pos="1985"/>
        </w:tabs>
        <w:ind w:left="1979" w:hanging="1980"/>
      </w:pPr>
      <w:r>
        <w:rPr>
          <w:noProof/>
          <w:lang w:eastAsia="de-DE"/>
        </w:rPr>
        <w:drawing>
          <wp:anchor distT="0" distB="0" distL="114300" distR="114300" simplePos="0" relativeHeight="251661312" behindDoc="1" locked="0" layoutInCell="1" allowOverlap="1">
            <wp:simplePos x="0" y="0"/>
            <wp:positionH relativeFrom="column">
              <wp:posOffset>3128645</wp:posOffset>
            </wp:positionH>
            <wp:positionV relativeFrom="paragraph">
              <wp:posOffset>559435</wp:posOffset>
            </wp:positionV>
            <wp:extent cx="3536315" cy="1572260"/>
            <wp:effectExtent l="0" t="990600" r="0" b="961390"/>
            <wp:wrapTight wrapText="bothSides">
              <wp:wrapPolygon edited="0">
                <wp:start x="21652" y="-144"/>
                <wp:lineTo x="126" y="-144"/>
                <wp:lineTo x="126" y="21578"/>
                <wp:lineTo x="21652" y="21578"/>
                <wp:lineTo x="21652" y="-144"/>
              </wp:wrapPolygon>
            </wp:wrapTight>
            <wp:docPr id="75" name="Grafik 69" descr="DSC00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88.JPG"/>
                    <pic:cNvPicPr/>
                  </pic:nvPicPr>
                  <pic:blipFill>
                    <a:blip r:embed="rId17" cstate="print"/>
                    <a:srcRect/>
                    <a:stretch>
                      <a:fillRect/>
                    </a:stretch>
                  </pic:blipFill>
                  <pic:spPr>
                    <a:xfrm rot="16200000">
                      <a:off x="0" y="0"/>
                      <a:ext cx="3536315" cy="1572260"/>
                    </a:xfrm>
                    <a:prstGeom prst="rect">
                      <a:avLst/>
                    </a:prstGeom>
                  </pic:spPr>
                </pic:pic>
              </a:graphicData>
            </a:graphic>
          </wp:anchor>
        </w:drawing>
      </w:r>
      <w:r>
        <w:t>Chemikalien:</w:t>
      </w:r>
      <w:r>
        <w:tab/>
      </w:r>
      <w:r>
        <w:tab/>
        <w:t>Kalkwasser, Hefe, Traubenzucker, demineralisiertes Wasser</w:t>
      </w:r>
    </w:p>
    <w:p w:rsidR="0056480D" w:rsidRDefault="0056480D" w:rsidP="0056480D">
      <w:pPr>
        <w:tabs>
          <w:tab w:val="left" w:pos="1701"/>
          <w:tab w:val="left" w:pos="1985"/>
        </w:tabs>
        <w:ind w:left="1979" w:hanging="1980"/>
      </w:pPr>
      <w:r>
        <w:t xml:space="preserve">Durchführung: </w:t>
      </w:r>
      <w:r>
        <w:tab/>
      </w:r>
      <w:r>
        <w:tab/>
        <w:t xml:space="preserve">Etwa 20 g Zucker werden in einem Erlenmeyerkolben mit 150 mL demineralisiertem Wasser versetzt. Dazu gibt man 7 g Hefe und rührt kräftig. Auf den Erlenmeyerkolben wird ein Gärröhrchen gesetzt, in dem sich Kalkwasser befindet. Der Erlenmeyerkolben wird an einem warmen Ort aufgestellt.  </w:t>
      </w:r>
    </w:p>
    <w:p w:rsidR="0056480D" w:rsidRDefault="0056480D" w:rsidP="0056480D">
      <w:pPr>
        <w:tabs>
          <w:tab w:val="left" w:pos="1701"/>
          <w:tab w:val="left" w:pos="1985"/>
        </w:tabs>
        <w:ind w:left="1979" w:hanging="1980"/>
      </w:pPr>
      <w:r>
        <w:t>Beobachtung:</w:t>
      </w:r>
      <w:r>
        <w:tab/>
      </w:r>
      <w:r>
        <w:tab/>
        <w:t>Nach einigen Stunden ist eine Trübung der Lösung im Gärröhrchen zu beobachten. Nach einigen Tagen riecht die Lösung leicht alkoholisch.</w:t>
      </w:r>
    </w:p>
    <w:p w:rsidR="0056480D" w:rsidRDefault="0056480D" w:rsidP="0056480D">
      <w:pPr>
        <w:tabs>
          <w:tab w:val="left" w:pos="1701"/>
          <w:tab w:val="left" w:pos="1985"/>
        </w:tabs>
        <w:ind w:left="1979" w:hanging="1980"/>
      </w:pPr>
      <w:r>
        <w:rPr>
          <w:noProof/>
          <w:lang w:eastAsia="de-DE"/>
        </w:rPr>
        <w:lastRenderedPageBreak/>
        <w:drawing>
          <wp:inline distT="0" distB="0" distL="0" distR="0">
            <wp:extent cx="2455653" cy="1841740"/>
            <wp:effectExtent l="0" t="304800" r="0" b="291860"/>
            <wp:docPr id="76" name="Grafik 67" descr="DSC00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72.JPG"/>
                    <pic:cNvPicPr/>
                  </pic:nvPicPr>
                  <pic:blipFill>
                    <a:blip r:embed="rId18" cstate="print"/>
                    <a:stretch>
                      <a:fillRect/>
                    </a:stretch>
                  </pic:blipFill>
                  <pic:spPr>
                    <a:xfrm rot="16200000">
                      <a:off x="0" y="0"/>
                      <a:ext cx="2454264" cy="1840698"/>
                    </a:xfrm>
                    <a:prstGeom prst="rect">
                      <a:avLst/>
                    </a:prstGeom>
                  </pic:spPr>
                </pic:pic>
              </a:graphicData>
            </a:graphic>
          </wp:inline>
        </w:drawing>
      </w:r>
      <w:r>
        <w:rPr>
          <w:noProof/>
          <w:lang w:eastAsia="de-DE"/>
        </w:rPr>
        <w:drawing>
          <wp:inline distT="0" distB="0" distL="0" distR="0">
            <wp:extent cx="2412520" cy="1809391"/>
            <wp:effectExtent l="0" t="304800" r="0" b="286109"/>
            <wp:docPr id="77" name="Grafik 68" descr="DSC00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96.JPG"/>
                    <pic:cNvPicPr/>
                  </pic:nvPicPr>
                  <pic:blipFill>
                    <a:blip r:embed="rId19" cstate="print"/>
                    <a:stretch>
                      <a:fillRect/>
                    </a:stretch>
                  </pic:blipFill>
                  <pic:spPr>
                    <a:xfrm rot="16200000">
                      <a:off x="0" y="0"/>
                      <a:ext cx="2413513" cy="1810135"/>
                    </a:xfrm>
                    <a:prstGeom prst="rect">
                      <a:avLst/>
                    </a:prstGeom>
                  </pic:spPr>
                </pic:pic>
              </a:graphicData>
            </a:graphic>
          </wp:inline>
        </w:drawing>
      </w:r>
    </w:p>
    <w:p w:rsidR="0056480D" w:rsidRDefault="0056480D" w:rsidP="0056480D">
      <w:pPr>
        <w:tabs>
          <w:tab w:val="left" w:pos="1701"/>
          <w:tab w:val="left" w:pos="1985"/>
        </w:tabs>
        <w:ind w:left="1979" w:hanging="1980"/>
        <w:rPr>
          <w:sz w:val="18"/>
          <w:szCs w:val="18"/>
        </w:rPr>
      </w:pPr>
      <w:r>
        <w:rPr>
          <w:sz w:val="18"/>
          <w:szCs w:val="18"/>
        </w:rPr>
        <w:t xml:space="preserve">            </w:t>
      </w:r>
      <w:r w:rsidRPr="008F47CE">
        <w:rPr>
          <w:sz w:val="18"/>
          <w:szCs w:val="18"/>
        </w:rPr>
        <w:t xml:space="preserve">Abb. 8 - Das Gärröhrchen vorher (links) und nach einigen Stunden (rechts) </w:t>
      </w:r>
    </w:p>
    <w:p w:rsidR="0056480D" w:rsidRPr="008F47CE" w:rsidRDefault="0056480D" w:rsidP="0056480D">
      <w:pPr>
        <w:tabs>
          <w:tab w:val="left" w:pos="1701"/>
          <w:tab w:val="left" w:pos="1985"/>
        </w:tabs>
        <w:ind w:left="1979" w:hanging="1980"/>
        <w:rPr>
          <w:sz w:val="18"/>
          <w:szCs w:val="18"/>
        </w:rPr>
      </w:pPr>
    </w:p>
    <w:p w:rsidR="0056480D" w:rsidRDefault="00204B3E" w:rsidP="0056480D">
      <w:pPr>
        <w:tabs>
          <w:tab w:val="left" w:pos="1701"/>
          <w:tab w:val="left" w:pos="1985"/>
        </w:tabs>
        <w:ind w:left="1979" w:hanging="1980"/>
      </w:pPr>
      <w:r>
        <w:t>Deutung:</w:t>
      </w:r>
      <w:r>
        <w:tab/>
      </w:r>
      <w:r>
        <w:tab/>
        <w:t xml:space="preserve">Die Hefepilze </w:t>
      </w:r>
      <w:bookmarkStart w:id="1" w:name="_GoBack"/>
      <w:bookmarkEnd w:id="1"/>
      <w:r w:rsidR="0056480D">
        <w:t xml:space="preserve">wandeln die Glucose zu Kohlenstoffdioxid und Alkohol um. </w:t>
      </w:r>
    </w:p>
    <w:p w:rsidR="0056480D" w:rsidRDefault="002A7A54" w:rsidP="0056480D">
      <w:pPr>
        <w:tabs>
          <w:tab w:val="left" w:pos="1701"/>
          <w:tab w:val="left" w:pos="1985"/>
        </w:tabs>
        <w:ind w:left="1979" w:hanging="1980"/>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6</m:t>
                  </m:r>
                </m:sub>
              </m:sSub>
              <m:sSub>
                <m:sSubPr>
                  <m:ctrlPr>
                    <w:rPr>
                      <w:rFonts w:ascii="Cambria Math" w:hAnsi="Cambria Math"/>
                      <w:i/>
                    </w:rPr>
                  </m:ctrlPr>
                </m:sSubPr>
                <m:e>
                  <m:r>
                    <w:rPr>
                      <w:rFonts w:ascii="Cambria Math" w:hAnsi="Cambria Math"/>
                    </w:rPr>
                    <m:t>H</m:t>
                  </m:r>
                </m:e>
                <m:sub>
                  <m:r>
                    <w:rPr>
                      <w:rFonts w:ascii="Cambria Math" w:hAnsi="Cambria Math"/>
                    </w:rPr>
                    <m:t>12</m:t>
                  </m:r>
                </m:sub>
              </m:sSub>
              <m:sSub>
                <m:sSubPr>
                  <m:ctrlPr>
                    <w:rPr>
                      <w:rFonts w:ascii="Cambria Math" w:hAnsi="Cambria Math"/>
                      <w:i/>
                    </w:rPr>
                  </m:ctrlPr>
                </m:sSubPr>
                <m:e>
                  <m:r>
                    <w:rPr>
                      <w:rFonts w:ascii="Cambria Math" w:hAnsi="Cambria Math"/>
                    </w:rPr>
                    <m:t>O</m:t>
                  </m:r>
                </m:e>
                <m:sub>
                  <m:r>
                    <w:rPr>
                      <w:rFonts w:ascii="Cambria Math" w:hAnsi="Cambria Math"/>
                    </w:rPr>
                    <m:t>6</m:t>
                  </m:r>
                </m:sub>
              </m:sSub>
            </m:e>
            <m:sub>
              <m:r>
                <w:rPr>
                  <w:rFonts w:ascii="Cambria Math" w:hAnsi="Cambria Math"/>
                </w:rPr>
                <m:t>(aq)</m:t>
              </m:r>
            </m:sub>
          </m:sSub>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Hefe</m:t>
                  </m:r>
                </m:e>
              </m:groupChr>
            </m:e>
          </m:box>
          <m:r>
            <w:rPr>
              <w:rFonts w:ascii="Cambria Math" w:eastAsiaTheme="minorEastAsia" w:hAnsi="Cambria Math"/>
            </w:rPr>
            <m:t xml:space="preserve"> 2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CO</m:t>
                  </m:r>
                </m:e>
                <m:sub>
                  <m:r>
                    <w:rPr>
                      <w:rFonts w:ascii="Cambria Math" w:eastAsiaTheme="minorEastAsia" w:hAnsi="Cambria Math"/>
                    </w:rPr>
                    <m:t>2</m:t>
                  </m:r>
                </m:sub>
              </m:sSub>
            </m:e>
            <m:sub>
              <m:r>
                <w:rPr>
                  <w:rFonts w:ascii="Cambria Math" w:eastAsiaTheme="minorEastAsia" w:hAnsi="Cambria Math"/>
                </w:rPr>
                <m:t>(g)</m:t>
              </m:r>
            </m:sub>
          </m:sSub>
          <m:r>
            <w:rPr>
              <w:rFonts w:ascii="Cambria Math" w:eastAsiaTheme="minorEastAsia" w:hAnsi="Cambria Math"/>
            </w:rPr>
            <m:t xml:space="preserve">+ 2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CH</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CH</m:t>
                  </m:r>
                </m:e>
                <m:sub>
                  <m:r>
                    <w:rPr>
                      <w:rFonts w:ascii="Cambria Math" w:eastAsiaTheme="minorEastAsia" w:hAnsi="Cambria Math"/>
                    </w:rPr>
                    <m:t>2</m:t>
                  </m:r>
                </m:sub>
              </m:sSub>
              <m:r>
                <w:rPr>
                  <w:rFonts w:ascii="Cambria Math" w:eastAsiaTheme="minorEastAsia" w:hAnsi="Cambria Math"/>
                </w:rPr>
                <m:t>OH</m:t>
              </m:r>
            </m:e>
            <m:sub>
              <m:r>
                <w:rPr>
                  <w:rFonts w:ascii="Cambria Math" w:eastAsiaTheme="minorEastAsia" w:hAnsi="Cambria Math"/>
                </w:rPr>
                <m:t>(aq)</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e>
            <m:sub>
              <m:r>
                <w:rPr>
                  <w:rFonts w:ascii="Cambria Math" w:eastAsiaTheme="minorEastAsia" w:hAnsi="Cambria Math"/>
                </w:rPr>
                <m:t>(l)</m:t>
              </m:r>
            </m:sub>
          </m:sSub>
        </m:oMath>
      </m:oMathPara>
    </w:p>
    <w:p w:rsidR="0056480D" w:rsidRDefault="0056480D" w:rsidP="0056480D">
      <w:pPr>
        <w:tabs>
          <w:tab w:val="left" w:pos="1701"/>
          <w:tab w:val="left" w:pos="1985"/>
        </w:tabs>
        <w:ind w:left="1979" w:hanging="1980"/>
        <w:rPr>
          <w:rFonts w:eastAsiaTheme="minorEastAsia"/>
        </w:rPr>
      </w:pPr>
      <w:r>
        <w:rPr>
          <w:rFonts w:eastAsiaTheme="minorEastAsia"/>
        </w:rPr>
        <w:t xml:space="preserve">Entsorgung: </w:t>
      </w:r>
      <w:r>
        <w:rPr>
          <w:rFonts w:eastAsiaTheme="minorEastAsia"/>
        </w:rPr>
        <w:tab/>
      </w:r>
      <w:r>
        <w:rPr>
          <w:rFonts w:eastAsiaTheme="minorEastAsia"/>
        </w:rPr>
        <w:tab/>
      </w:r>
      <w:r>
        <w:rPr>
          <w:rFonts w:eastAsiaTheme="minorEastAsia"/>
        </w:rPr>
        <w:tab/>
        <w:t>Die Lösung kann in den Abfluss gegeben werden.</w:t>
      </w:r>
    </w:p>
    <w:p w:rsidR="0056480D" w:rsidRPr="00B937A2" w:rsidRDefault="0056480D" w:rsidP="0056480D">
      <w:pPr>
        <w:spacing w:line="276" w:lineRule="auto"/>
        <w:ind w:left="1979" w:hanging="1980"/>
        <w:jc w:val="left"/>
        <w:rPr>
          <w:rFonts w:asciiTheme="majorHAnsi" w:hAnsiTheme="majorHAnsi"/>
        </w:rPr>
      </w:pPr>
      <w:r>
        <w:t>Literatur:</w:t>
      </w:r>
      <w:r>
        <w:tab/>
        <w:t>Asselborn, W., Chemie heute- Sekundarstufe I, Schroedel Verlag 2001, S.304.</w:t>
      </w:r>
    </w:p>
    <w:p w:rsidR="0056480D" w:rsidRPr="006E32AF" w:rsidRDefault="002A7A54" w:rsidP="0056480D">
      <w:pPr>
        <w:tabs>
          <w:tab w:val="left" w:pos="1701"/>
          <w:tab w:val="left" w:pos="1985"/>
        </w:tabs>
        <w:ind w:left="1979" w:hanging="1980"/>
        <w:rPr>
          <w:rFonts w:eastAsiaTheme="minorEastAsia"/>
        </w:rPr>
      </w:pPr>
      <w:r>
        <w:pict>
          <v:shape id="_x0000_s1030" type="#_x0000_t202" style="width:462.45pt;height:120.9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030">
              <w:txbxContent>
                <w:p w:rsidR="0056480D" w:rsidRPr="00864A21" w:rsidRDefault="0056480D" w:rsidP="0056480D">
                  <w:r>
                    <w:t>Auch hier muss bei der Deutung didaktisch reduziert werden, da den SuS die Glykolyse noch nicht bekannt ist. Dass die alkoholische Gärung eigentlich dazu dient NAD</w:t>
                  </w:r>
                  <w:r w:rsidRPr="00E4422B">
                    <w:rPr>
                      <w:vertAlign w:val="superscript"/>
                    </w:rPr>
                    <w:t>+</w:t>
                  </w:r>
                  <w:r>
                    <w:t xml:space="preserve"> zu regenerieren, kann jedoch thematisiert werden, um den SuS zu verdeutlichen, warum Alkohol überhaupt von solchen Organismen produziert wird. Außerdem können anhand dieses Versuches die industriellen Verfahren der Herstellung alkoholischer Getränke z.B. der Wein-und Bierherstellung behandelt werden.</w:t>
                  </w:r>
                </w:p>
              </w:txbxContent>
            </v:textbox>
            <w10:wrap type="none"/>
            <w10:anchorlock/>
          </v:shape>
        </w:pict>
      </w:r>
    </w:p>
    <w:p w:rsidR="0056480D" w:rsidRDefault="0056480D" w:rsidP="0056480D">
      <w:pPr>
        <w:tabs>
          <w:tab w:val="left" w:pos="1701"/>
          <w:tab w:val="left" w:pos="1985"/>
        </w:tabs>
        <w:ind w:left="1979" w:hanging="1980"/>
        <w:rPr>
          <w:color w:val="1F497D" w:themeColor="text2"/>
        </w:rPr>
      </w:pPr>
    </w:p>
    <w:p w:rsidR="004465A0" w:rsidRDefault="004465A0"/>
    <w:sectPr w:rsidR="004465A0" w:rsidSect="004465A0">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54" w:rsidRDefault="002A7A54" w:rsidP="00C710D0">
      <w:pPr>
        <w:spacing w:after="0" w:line="240" w:lineRule="auto"/>
      </w:pPr>
      <w:r>
        <w:separator/>
      </w:r>
    </w:p>
  </w:endnote>
  <w:endnote w:type="continuationSeparator" w:id="0">
    <w:p w:rsidR="002A7A54" w:rsidRDefault="002A7A54" w:rsidP="00C7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54" w:rsidRDefault="002A7A54" w:rsidP="00C710D0">
      <w:pPr>
        <w:spacing w:after="0" w:line="240" w:lineRule="auto"/>
      </w:pPr>
      <w:r>
        <w:separator/>
      </w:r>
    </w:p>
  </w:footnote>
  <w:footnote w:type="continuationSeparator" w:id="0">
    <w:p w:rsidR="002A7A54" w:rsidRDefault="002A7A54" w:rsidP="00C71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EndPr/>
    <w:sdtContent>
      <w:p w:rsidR="00C710D0" w:rsidRDefault="002A7A54" w:rsidP="00C710D0">
        <w:pPr>
          <w:pStyle w:val="Kopfzeile"/>
          <w:tabs>
            <w:tab w:val="left" w:pos="0"/>
            <w:tab w:val="left" w:pos="284"/>
          </w:tabs>
          <w:jc w:val="right"/>
          <w:rPr>
            <w:rFonts w:asciiTheme="majorHAnsi" w:hAnsiTheme="majorHAnsi"/>
            <w:sz w:val="20"/>
            <w:szCs w:val="20"/>
          </w:rPr>
        </w:pPr>
        <w:r>
          <w:rPr>
            <w:b/>
            <w:bCs/>
            <w:noProof/>
          </w:rPr>
          <w:fldChar w:fldCharType="begin"/>
        </w:r>
        <w:r>
          <w:rPr>
            <w:b/>
            <w:bCs/>
            <w:noProof/>
          </w:rPr>
          <w:instrText xml:space="preserve"> STYLEREF  "Überschrift 1"  \* MERGEFORMAT </w:instrText>
        </w:r>
        <w:r>
          <w:rPr>
            <w:b/>
            <w:bCs/>
            <w:noProof/>
          </w:rPr>
          <w:fldChar w:fldCharType="separate"/>
        </w:r>
        <w:r w:rsidR="00C772EB">
          <w:rPr>
            <w:b/>
            <w:bCs/>
            <w:noProof/>
          </w:rPr>
          <w:t>V 6 – Die Alkoholische Gärung</w:t>
        </w:r>
        <w:r>
          <w:rPr>
            <w:b/>
            <w:bCs/>
            <w:noProof/>
          </w:rPr>
          <w:fldChar w:fldCharType="end"/>
        </w:r>
        <w:r w:rsidR="00C710D0">
          <w:rPr>
            <w:rFonts w:asciiTheme="majorHAnsi" w:hAnsiTheme="majorHAnsi"/>
            <w:sz w:val="20"/>
            <w:szCs w:val="20"/>
          </w:rPr>
          <w:tab/>
        </w:r>
        <w:r w:rsidR="00C710D0">
          <w:rPr>
            <w:rFonts w:asciiTheme="majorHAnsi" w:hAnsiTheme="majorHAnsi"/>
            <w:sz w:val="20"/>
            <w:szCs w:val="20"/>
          </w:rPr>
          <w:tab/>
        </w:r>
        <w:r w:rsidR="00C710D0">
          <w:rPr>
            <w:rFonts w:asciiTheme="majorHAnsi" w:hAnsiTheme="majorHAnsi" w:cs="Arial"/>
            <w:sz w:val="20"/>
            <w:szCs w:val="20"/>
          </w:rPr>
          <w:t xml:space="preserve"> </w:t>
        </w:r>
        <w:r w:rsidR="00C710D0">
          <w:rPr>
            <w:rFonts w:asciiTheme="majorHAnsi" w:hAnsiTheme="majorHAnsi"/>
            <w:sz w:val="20"/>
            <w:szCs w:val="20"/>
          </w:rPr>
          <w:fldChar w:fldCharType="begin"/>
        </w:r>
        <w:r w:rsidR="00C710D0">
          <w:rPr>
            <w:rFonts w:asciiTheme="majorHAnsi" w:hAnsiTheme="majorHAnsi"/>
            <w:sz w:val="20"/>
            <w:szCs w:val="20"/>
          </w:rPr>
          <w:instrText xml:space="preserve"> PAGE   \* MERGEFORMAT </w:instrText>
        </w:r>
        <w:r w:rsidR="00C710D0">
          <w:rPr>
            <w:rFonts w:asciiTheme="majorHAnsi" w:hAnsiTheme="majorHAnsi"/>
            <w:sz w:val="20"/>
            <w:szCs w:val="20"/>
          </w:rPr>
          <w:fldChar w:fldCharType="separate"/>
        </w:r>
        <w:r w:rsidR="00C772EB">
          <w:rPr>
            <w:rFonts w:asciiTheme="majorHAnsi" w:hAnsiTheme="majorHAnsi"/>
            <w:noProof/>
            <w:sz w:val="20"/>
            <w:szCs w:val="20"/>
          </w:rPr>
          <w:t>2</w:t>
        </w:r>
        <w:r w:rsidR="00C710D0">
          <w:rPr>
            <w:rFonts w:asciiTheme="majorHAnsi" w:hAnsiTheme="majorHAnsi"/>
            <w:sz w:val="20"/>
            <w:szCs w:val="20"/>
          </w:rPr>
          <w:fldChar w:fldCharType="end"/>
        </w:r>
      </w:p>
    </w:sdtContent>
  </w:sdt>
  <w:p w:rsidR="00C710D0" w:rsidRDefault="002A7A54" w:rsidP="00C710D0">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p w:rsidR="00C710D0" w:rsidRDefault="00C710D0" w:rsidP="00C710D0">
    <w:pPr>
      <w:pStyle w:val="Kopfzeile"/>
    </w:pPr>
  </w:p>
  <w:p w:rsidR="00C710D0" w:rsidRDefault="00C710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56480D"/>
    <w:rsid w:val="00204B3E"/>
    <w:rsid w:val="00293ED5"/>
    <w:rsid w:val="002A7A54"/>
    <w:rsid w:val="003D3FC1"/>
    <w:rsid w:val="004465A0"/>
    <w:rsid w:val="0056480D"/>
    <w:rsid w:val="009A1256"/>
    <w:rsid w:val="00A22C6F"/>
    <w:rsid w:val="00C710D0"/>
    <w:rsid w:val="00C772EB"/>
    <w:rsid w:val="00DC7166"/>
    <w:rsid w:val="00FD3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8DE4F0"/>
  <w15:docId w15:val="{CEE80AE9-362D-4270-A536-441A8115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480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6480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6480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6480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6480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6480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6480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6480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6480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6480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480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6480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6480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6480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6480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6480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6480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6480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6480D"/>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5648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480D"/>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C71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710D0"/>
    <w:rPr>
      <w:rFonts w:ascii="Cambria" w:hAnsi="Cambria"/>
      <w:color w:val="1D1B11" w:themeColor="background2" w:themeShade="1A"/>
    </w:rPr>
  </w:style>
  <w:style w:type="paragraph" w:styleId="Fuzeile">
    <w:name w:val="footer"/>
    <w:basedOn w:val="Standard"/>
    <w:link w:val="FuzeileZchn"/>
    <w:uiPriority w:val="99"/>
    <w:semiHidden/>
    <w:unhideWhenUsed/>
    <w:rsid w:val="00C710D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710D0"/>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E4133-7B55-462F-B935-ECE9B42E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Timm Wilke</cp:lastModifiedBy>
  <cp:revision>5</cp:revision>
  <cp:lastPrinted>2019-03-26T13:49:00Z</cp:lastPrinted>
  <dcterms:created xsi:type="dcterms:W3CDTF">2013-08-13T18:31:00Z</dcterms:created>
  <dcterms:modified xsi:type="dcterms:W3CDTF">2019-03-26T13:49:00Z</dcterms:modified>
</cp:coreProperties>
</file>