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102" w:rsidRDefault="00B30102" w:rsidP="00B30102">
      <w:pPr>
        <w:pStyle w:val="berschrift1"/>
        <w:numPr>
          <w:ilvl w:val="0"/>
          <w:numId w:val="0"/>
        </w:numPr>
        <w:ind w:left="431"/>
      </w:pPr>
      <w:bookmarkStart w:id="0" w:name="_Toc364238652"/>
      <w:r>
        <w:rPr>
          <w:noProof/>
          <w:lang w:eastAsia="zh-TW"/>
        </w:rPr>
        <mc:AlternateContent>
          <mc:Choice Requires="wps">
            <w:drawing>
              <wp:anchor distT="0" distB="0" distL="114300" distR="114300" simplePos="0" relativeHeight="251659264" behindDoc="0" locked="0" layoutInCell="1" allowOverlap="1" wp14:anchorId="66322774" wp14:editId="2D2067BB">
                <wp:simplePos x="0" y="0"/>
                <wp:positionH relativeFrom="column">
                  <wp:posOffset>-42545</wp:posOffset>
                </wp:positionH>
                <wp:positionV relativeFrom="paragraph">
                  <wp:posOffset>673100</wp:posOffset>
                </wp:positionV>
                <wp:extent cx="5873115" cy="1752600"/>
                <wp:effectExtent l="0" t="0" r="13335" b="19050"/>
                <wp:wrapSquare wrapText="bothSides"/>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7526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0102" w:rsidRPr="00080971" w:rsidRDefault="00B30102" w:rsidP="00B30102">
                            <w:pPr>
                              <w:rPr>
                                <w:color w:val="auto"/>
                              </w:rPr>
                            </w:pPr>
                            <w:r w:rsidRPr="00080971">
                              <w:rPr>
                                <w:color w:val="auto"/>
                              </w:rPr>
                              <w:t>Ver</w:t>
                            </w:r>
                            <w:r>
                              <w:rPr>
                                <w:color w:val="auto"/>
                              </w:rPr>
                              <w:t>such 2 zeigt im A</w:t>
                            </w:r>
                            <w:r w:rsidRPr="00080971">
                              <w:rPr>
                                <w:color w:val="auto"/>
                              </w:rPr>
                              <w:t>llgemeinen die hygroskopische Wirkung der Schwefelsäure. Dieser Ve</w:t>
                            </w:r>
                            <w:r w:rsidRPr="00080971">
                              <w:rPr>
                                <w:color w:val="auto"/>
                              </w:rPr>
                              <w:t>r</w:t>
                            </w:r>
                            <w:r w:rsidRPr="00080971">
                              <w:rPr>
                                <w:color w:val="auto"/>
                              </w:rPr>
                              <w:t>such soll den Einfluss von konzentrierter Schwefelsäure auf organische Stoffe zeigen. Dieser Showversuch kann genutzt werden, um die Gefahr der Schwefelsäure noch einmal zu verdeu</w:t>
                            </w:r>
                            <w:r w:rsidRPr="00080971">
                              <w:rPr>
                                <w:color w:val="auto"/>
                              </w:rPr>
                              <w:t>t</w:t>
                            </w:r>
                            <w:r w:rsidRPr="00080971">
                              <w:rPr>
                                <w:color w:val="auto"/>
                              </w:rPr>
                              <w:t>lichen oder um zu zeigen, dass die Stoffe, die von der Säure zerstört werden, alle Kohl</w:t>
                            </w:r>
                            <w:r>
                              <w:rPr>
                                <w:color w:val="auto"/>
                              </w:rPr>
                              <w:t>e</w:t>
                            </w:r>
                            <w:r w:rsidRPr="00080971">
                              <w:rPr>
                                <w:color w:val="auto"/>
                              </w:rPr>
                              <w:t>nstoff als Grundbaustein haben. Er lässt sich deshalb gut am Übergang zwischen anorganischer und organischer Chemie einsetzen, wobei das Augenmerkt eher auf dem Kohlen</w:t>
                            </w:r>
                            <w:bookmarkStart w:id="1" w:name="_GoBack"/>
                            <w:r w:rsidRPr="00080971">
                              <w:rPr>
                                <w:color w:val="auto"/>
                              </w:rPr>
                              <w:t>stoff als auf der Schwefelsäure liegt.</w:t>
                            </w:r>
                            <w:bookmarkEnd w:id="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3.35pt;margin-top:53pt;width:462.45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" fillcolor="white [3201]" strokecolor="#4bacc6 [3208]" strokeweight="1pt">
                <v:stroke dashstyle="dash"/>
                <v:shadow color="#868686"/>
                <v:textbox>
                  <w:txbxContent>
                    <w:p w:rsidR="00B30102" w:rsidRPr="00080971" w:rsidRDefault="00B30102" w:rsidP="00B30102">
                      <w:pPr>
                        <w:rPr>
                          <w:color w:val="auto"/>
                        </w:rPr>
                      </w:pPr>
                      <w:r w:rsidRPr="00080971">
                        <w:rPr>
                          <w:color w:val="auto"/>
                        </w:rPr>
                        <w:t>Ver</w:t>
                      </w:r>
                      <w:r>
                        <w:rPr>
                          <w:color w:val="auto"/>
                        </w:rPr>
                        <w:t>such 2 zeigt im A</w:t>
                      </w:r>
                      <w:r w:rsidRPr="00080971">
                        <w:rPr>
                          <w:color w:val="auto"/>
                        </w:rPr>
                        <w:t>llgemeinen die hygroskopische Wirkung der Schwefelsäure. Dieser Ve</w:t>
                      </w:r>
                      <w:r w:rsidRPr="00080971">
                        <w:rPr>
                          <w:color w:val="auto"/>
                        </w:rPr>
                        <w:t>r</w:t>
                      </w:r>
                      <w:r w:rsidRPr="00080971">
                        <w:rPr>
                          <w:color w:val="auto"/>
                        </w:rPr>
                        <w:t>such soll den Einfluss von konzentrierter Schwefelsäure auf organische Stoffe zeigen. Dieser Showversuch kann genutzt werden, um die Gefahr der Schwefelsäure noch einmal zu verdeu</w:t>
                      </w:r>
                      <w:r w:rsidRPr="00080971">
                        <w:rPr>
                          <w:color w:val="auto"/>
                        </w:rPr>
                        <w:t>t</w:t>
                      </w:r>
                      <w:r w:rsidRPr="00080971">
                        <w:rPr>
                          <w:color w:val="auto"/>
                        </w:rPr>
                        <w:t>lichen oder um zu zeigen, dass die Stoffe, die von der Säure zerstört werden, alle Kohl</w:t>
                      </w:r>
                      <w:r>
                        <w:rPr>
                          <w:color w:val="auto"/>
                        </w:rPr>
                        <w:t>e</w:t>
                      </w:r>
                      <w:r w:rsidRPr="00080971">
                        <w:rPr>
                          <w:color w:val="auto"/>
                        </w:rPr>
                        <w:t>nstoff als Grundbaustein haben. Er lässt sich deshalb gut am Übergang zwischen anorganischer und organischer Chemie einsetzen, wobei das Augenmerkt eher auf dem Kohlen</w:t>
                      </w:r>
                      <w:bookmarkStart w:id="2" w:name="_GoBack"/>
                      <w:r w:rsidRPr="00080971">
                        <w:rPr>
                          <w:color w:val="auto"/>
                        </w:rPr>
                        <w:t>stoff als auf der Schwefelsäure liegt.</w:t>
                      </w:r>
                      <w:bookmarkEnd w:id="2"/>
                    </w:p>
                  </w:txbxContent>
                </v:textbox>
                <w10:wrap type="square"/>
              </v:shape>
            </w:pict>
          </mc:Fallback>
        </mc:AlternateContent>
      </w:r>
      <w:r>
        <w:t>V 3 –Der Einfluss von Schwefelsäure auf Kohlenhydrate</w:t>
      </w:r>
      <w:bookmarkEnd w:id="0"/>
    </w:p>
    <w:p w:rsidR="00B30102" w:rsidRPr="00560FD2" w:rsidRDefault="00B30102" w:rsidP="00B30102"/>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30102" w:rsidRPr="009C5E28" w:rsidTr="00CB5D98">
        <w:tc>
          <w:tcPr>
            <w:tcW w:w="9322" w:type="dxa"/>
            <w:gridSpan w:val="9"/>
            <w:shd w:val="clear" w:color="auto" w:fill="4F81BD"/>
            <w:vAlign w:val="center"/>
          </w:tcPr>
          <w:p w:rsidR="00B30102" w:rsidRPr="009C5E28" w:rsidRDefault="00B30102" w:rsidP="00CB5D98">
            <w:pPr>
              <w:spacing w:after="0"/>
              <w:jc w:val="center"/>
              <w:rPr>
                <w:b/>
                <w:bCs/>
              </w:rPr>
            </w:pPr>
            <w:r w:rsidRPr="009C5E28">
              <w:rPr>
                <w:b/>
                <w:bCs/>
              </w:rPr>
              <w:t>Gefahrenstoffe</w:t>
            </w:r>
          </w:p>
        </w:tc>
      </w:tr>
      <w:tr w:rsidR="00B30102" w:rsidRPr="009C5E28" w:rsidTr="00CB5D98">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30102" w:rsidRPr="00971B1A" w:rsidRDefault="00B30102" w:rsidP="00CB5D98">
            <w:pPr>
              <w:spacing w:after="0" w:line="276" w:lineRule="auto"/>
              <w:jc w:val="center"/>
              <w:rPr>
                <w:b/>
                <w:bCs/>
              </w:rPr>
            </w:pPr>
            <w:r w:rsidRPr="00971B1A">
              <w:t>Schwefelsäure</w:t>
            </w:r>
          </w:p>
        </w:tc>
        <w:tc>
          <w:tcPr>
            <w:tcW w:w="3177" w:type="dxa"/>
            <w:gridSpan w:val="3"/>
            <w:tcBorders>
              <w:top w:val="single" w:sz="8" w:space="0" w:color="4F81BD"/>
              <w:bottom w:val="single" w:sz="8" w:space="0" w:color="4F81BD"/>
            </w:tcBorders>
            <w:shd w:val="clear" w:color="auto" w:fill="auto"/>
            <w:vAlign w:val="center"/>
          </w:tcPr>
          <w:p w:rsidR="00B30102" w:rsidRPr="009C5E28" w:rsidRDefault="00B30102" w:rsidP="00CB5D98">
            <w:pPr>
              <w:spacing w:after="0"/>
              <w:jc w:val="center"/>
            </w:pPr>
            <w:r>
              <w:t>H: 314-290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30102" w:rsidRPr="009C5E28" w:rsidRDefault="00B30102" w:rsidP="00CB5D98">
            <w:pPr>
              <w:spacing w:after="0"/>
              <w:jc w:val="center"/>
            </w:pPr>
            <w:r>
              <w:t>P: 280-301+330+331-309-310-305+351+338</w:t>
            </w:r>
          </w:p>
        </w:tc>
      </w:tr>
      <w:tr w:rsidR="00B30102" w:rsidRPr="009C5E28" w:rsidTr="00CB5D98">
        <w:tc>
          <w:tcPr>
            <w:tcW w:w="1009" w:type="dxa"/>
            <w:tcBorders>
              <w:top w:val="single" w:sz="8" w:space="0" w:color="4F81BD"/>
              <w:left w:val="single" w:sz="8" w:space="0" w:color="4F81BD"/>
              <w:bottom w:val="single" w:sz="8" w:space="0" w:color="4F81BD"/>
            </w:tcBorders>
            <w:shd w:val="clear" w:color="auto" w:fill="auto"/>
            <w:vAlign w:val="center"/>
          </w:tcPr>
          <w:p w:rsidR="00B30102" w:rsidRPr="009C5E28" w:rsidRDefault="00B30102" w:rsidP="00CB5D98">
            <w:pPr>
              <w:spacing w:after="0"/>
              <w:jc w:val="center"/>
              <w:rPr>
                <w:b/>
                <w:bCs/>
              </w:rPr>
            </w:pPr>
            <w:r>
              <w:rPr>
                <w:b/>
                <w:noProof/>
                <w:lang w:eastAsia="zh-TW"/>
              </w:rPr>
              <w:drawing>
                <wp:inline distT="0" distB="0" distL="0" distR="0" wp14:anchorId="31360CE0" wp14:editId="0198CD5D">
                  <wp:extent cx="504190" cy="5041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30102" w:rsidRPr="009C5E28" w:rsidRDefault="00B30102" w:rsidP="00CB5D98">
            <w:pPr>
              <w:spacing w:after="0"/>
              <w:jc w:val="center"/>
            </w:pPr>
            <w:r>
              <w:rPr>
                <w:noProof/>
                <w:lang w:eastAsia="zh-TW"/>
              </w:rPr>
              <w:drawing>
                <wp:inline distT="0" distB="0" distL="0" distR="0" wp14:anchorId="5E0B100C" wp14:editId="69737D17">
                  <wp:extent cx="504190" cy="50419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30102" w:rsidRPr="009C5E28" w:rsidRDefault="00B30102" w:rsidP="00CB5D98">
            <w:pPr>
              <w:spacing w:after="0"/>
              <w:jc w:val="center"/>
            </w:pPr>
            <w:r>
              <w:rPr>
                <w:noProof/>
                <w:lang w:eastAsia="zh-TW"/>
              </w:rPr>
              <w:drawing>
                <wp:inline distT="0" distB="0" distL="0" distR="0" wp14:anchorId="0E92D3C5" wp14:editId="31D2DC12">
                  <wp:extent cx="504190" cy="50419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30102" w:rsidRPr="009C5E28" w:rsidRDefault="00B30102" w:rsidP="00CB5D98">
            <w:pPr>
              <w:spacing w:after="0"/>
              <w:jc w:val="center"/>
            </w:pPr>
            <w:r>
              <w:rPr>
                <w:noProof/>
                <w:lang w:eastAsia="zh-TW"/>
              </w:rPr>
              <w:drawing>
                <wp:inline distT="0" distB="0" distL="0" distR="0" wp14:anchorId="01517E87" wp14:editId="2E6FA84F">
                  <wp:extent cx="504190" cy="50419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B30102" w:rsidRPr="009C5E28" w:rsidRDefault="00B30102" w:rsidP="00CB5D98">
            <w:pPr>
              <w:spacing w:after="0"/>
              <w:jc w:val="center"/>
            </w:pPr>
            <w:r>
              <w:rPr>
                <w:noProof/>
                <w:lang w:eastAsia="zh-TW"/>
              </w:rPr>
              <w:drawing>
                <wp:inline distT="0" distB="0" distL="0" distR="0" wp14:anchorId="0C989913" wp14:editId="5535199F">
                  <wp:extent cx="504190" cy="50419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B30102" w:rsidRPr="009C5E28" w:rsidRDefault="00B30102" w:rsidP="00CB5D98">
            <w:pPr>
              <w:spacing w:after="0"/>
              <w:jc w:val="center"/>
            </w:pPr>
            <w:r>
              <w:rPr>
                <w:noProof/>
                <w:lang w:eastAsia="zh-TW"/>
              </w:rPr>
              <w:drawing>
                <wp:inline distT="0" distB="0" distL="0" distR="0" wp14:anchorId="7124D54B" wp14:editId="2D178F64">
                  <wp:extent cx="504190" cy="50419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B30102" w:rsidRPr="009C5E28" w:rsidRDefault="00B30102" w:rsidP="00CB5D98">
            <w:pPr>
              <w:spacing w:after="0"/>
              <w:jc w:val="center"/>
            </w:pPr>
            <w:r>
              <w:rPr>
                <w:noProof/>
                <w:lang w:eastAsia="zh-TW"/>
              </w:rPr>
              <w:drawing>
                <wp:inline distT="0" distB="0" distL="0" distR="0" wp14:anchorId="7BE4AD97" wp14:editId="0EE477E3">
                  <wp:extent cx="504190" cy="50419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30102" w:rsidRPr="009C5E28" w:rsidRDefault="00B30102" w:rsidP="00CB5D98">
            <w:pPr>
              <w:spacing w:after="0"/>
              <w:jc w:val="center"/>
            </w:pPr>
            <w:r>
              <w:rPr>
                <w:noProof/>
                <w:lang w:eastAsia="zh-TW"/>
              </w:rPr>
              <w:drawing>
                <wp:inline distT="0" distB="0" distL="0" distR="0" wp14:anchorId="6DD80705" wp14:editId="13923691">
                  <wp:extent cx="511175" cy="511175"/>
                  <wp:effectExtent l="0" t="0" r="3175" b="3175"/>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B30102" w:rsidRPr="009C5E28" w:rsidRDefault="00B30102" w:rsidP="00CB5D98">
            <w:pPr>
              <w:spacing w:after="0"/>
              <w:jc w:val="center"/>
            </w:pPr>
            <w:r>
              <w:rPr>
                <w:noProof/>
                <w:lang w:eastAsia="zh-TW"/>
              </w:rPr>
              <w:drawing>
                <wp:inline distT="0" distB="0" distL="0" distR="0" wp14:anchorId="6B4413F1" wp14:editId="2DBDF864">
                  <wp:extent cx="504190" cy="504190"/>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B30102" w:rsidRDefault="00B30102" w:rsidP="00B30102">
      <w:pPr>
        <w:tabs>
          <w:tab w:val="left" w:pos="1701"/>
          <w:tab w:val="left" w:pos="1985"/>
        </w:tabs>
        <w:ind w:left="1980" w:hanging="1980"/>
      </w:pPr>
    </w:p>
    <w:p w:rsidR="00B30102" w:rsidRDefault="00B30102" w:rsidP="00B30102">
      <w:pPr>
        <w:tabs>
          <w:tab w:val="left" w:pos="1701"/>
          <w:tab w:val="left" w:pos="1985"/>
        </w:tabs>
        <w:ind w:left="1980" w:hanging="1980"/>
      </w:pPr>
      <w:r>
        <w:t xml:space="preserve">Materialien: </w:t>
      </w:r>
      <w:r>
        <w:tab/>
      </w:r>
      <w:r>
        <w:tab/>
        <w:t xml:space="preserve">Sägespäne, ein altes </w:t>
      </w:r>
      <w:proofErr w:type="spellStart"/>
      <w:r>
        <w:t>Frottehandtuch</w:t>
      </w:r>
      <w:proofErr w:type="spellEnd"/>
      <w:r>
        <w:t>, Würfelzucker, 3 Petrischalen, ein 100</w:t>
      </w:r>
      <w:r>
        <w:noBreakHyphen/>
        <w:t>mL-Becherglas, ein Stück Papier</w:t>
      </w:r>
    </w:p>
    <w:p w:rsidR="00B30102" w:rsidRDefault="00B30102" w:rsidP="00B30102">
      <w:pPr>
        <w:tabs>
          <w:tab w:val="left" w:pos="1701"/>
          <w:tab w:val="left" w:pos="1985"/>
        </w:tabs>
        <w:ind w:left="1980" w:hanging="1980"/>
      </w:pPr>
      <w:r>
        <w:t>Chemikalien:</w:t>
      </w:r>
      <w:r>
        <w:tab/>
      </w:r>
      <w:r>
        <w:tab/>
        <w:t>Konzentrierte Schwefelsäure</w:t>
      </w:r>
    </w:p>
    <w:p w:rsidR="00B30102" w:rsidRDefault="00B30102" w:rsidP="00B30102">
      <w:pPr>
        <w:tabs>
          <w:tab w:val="left" w:pos="1701"/>
          <w:tab w:val="left" w:pos="1985"/>
        </w:tabs>
        <w:ind w:left="1980" w:hanging="1980"/>
      </w:pPr>
      <w:r>
        <w:t>Durchführung:</w:t>
      </w:r>
      <w:r>
        <w:tab/>
      </w:r>
      <w:r>
        <w:tab/>
        <w:t>Vier Stück Würfelzucker werden in einer Petrischale gestapelt, ein paar Sägespäne, sowie ein kleines Stück Papier werden in je eine Petrischale g</w:t>
      </w:r>
      <w:r>
        <w:t>e</w:t>
      </w:r>
      <w:r>
        <w:t xml:space="preserve">geben. Aus dem Handtuch wird eine kleine Ecke abgeschnitten, welche über die Öffnung des Becherglases gelegt wird. Nun werden auf jeden Stoff 6-10 Tropfen </w:t>
      </w:r>
      <w:proofErr w:type="spellStart"/>
      <w:r>
        <w:t>konz</w:t>
      </w:r>
      <w:proofErr w:type="spellEnd"/>
      <w:r>
        <w:t>. Schwefelsäure gegeben.</w:t>
      </w:r>
    </w:p>
    <w:p w:rsidR="00B30102" w:rsidRDefault="00B30102" w:rsidP="00B30102">
      <w:pPr>
        <w:tabs>
          <w:tab w:val="left" w:pos="1701"/>
          <w:tab w:val="left" w:pos="1985"/>
        </w:tabs>
        <w:ind w:left="1980" w:hanging="1980"/>
      </w:pPr>
      <w:r>
        <w:t>Beobachtung:</w:t>
      </w:r>
      <w:r>
        <w:tab/>
      </w:r>
      <w:r>
        <w:tab/>
        <w:t>Der Zucker wird schwarz und es bilden sich Blasen. Die Sägespäne werden pechschwarz. Das Papier wird erst braun und nach einiger Zeit ist es auch schwarz. Das Stück Handtuch wird erst braun und an der Stelle, an der die Schwefelsäure auf dem Handtuch ist, entsteht ein Loch. Am Rand hat di</w:t>
      </w:r>
      <w:r>
        <w:t>e</w:t>
      </w:r>
      <w:r>
        <w:t>ses Loch einen schwarzen Rand und die heruntergetropften Handtuchreste im Becherglas sind auch schwarz.</w:t>
      </w:r>
    </w:p>
    <w:p w:rsidR="00B30102" w:rsidRDefault="00B30102" w:rsidP="00B30102">
      <w:pPr>
        <w:tabs>
          <w:tab w:val="left" w:pos="1701"/>
          <w:tab w:val="left" w:pos="1985"/>
        </w:tabs>
        <w:spacing w:after="0"/>
        <w:ind w:left="1980" w:hanging="1980"/>
      </w:pPr>
      <w:r>
        <w:rPr>
          <w:noProof/>
          <w:lang w:eastAsia="zh-TW"/>
        </w:rPr>
        <w:lastRenderedPageBreak/>
        <w:drawing>
          <wp:inline distT="0" distB="0" distL="0" distR="0" wp14:anchorId="6BEEE745" wp14:editId="472B4531">
            <wp:extent cx="5905500" cy="1657240"/>
            <wp:effectExtent l="76200" t="76200" r="133350" b="133985"/>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2.jpg"/>
                    <pic:cNvPicPr/>
                  </pic:nvPicPr>
                  <pic:blipFill rotWithShape="1">
                    <a:blip r:embed="rId18">
                      <a:extLst>
                        <a:ext uri="{28A0092B-C50C-407E-A947-70E740481C1C}">
                          <a14:useLocalDpi xmlns:a14="http://schemas.microsoft.com/office/drawing/2010/main" val="0"/>
                        </a:ext>
                      </a:extLst>
                    </a:blip>
                    <a:srcRect t="10019" b="63006"/>
                    <a:stretch/>
                  </pic:blipFill>
                  <pic:spPr bwMode="auto">
                    <a:xfrm>
                      <a:off x="0" y="0"/>
                      <a:ext cx="5903681" cy="165672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30102" w:rsidRPr="00C215DB" w:rsidRDefault="00B30102" w:rsidP="00B30102">
      <w:pPr>
        <w:tabs>
          <w:tab w:val="left" w:pos="1701"/>
          <w:tab w:val="left" w:pos="1985"/>
        </w:tabs>
        <w:ind w:left="1980" w:hanging="1980"/>
        <w:jc w:val="center"/>
        <w:rPr>
          <w:sz w:val="20"/>
          <w:szCs w:val="20"/>
        </w:rPr>
      </w:pPr>
      <w:r>
        <w:rPr>
          <w:sz w:val="20"/>
          <w:szCs w:val="20"/>
        </w:rPr>
        <w:t>Abb. 5 – Der Einfluss von Schwefelsäure auf Kohlenhydrate</w:t>
      </w:r>
    </w:p>
    <w:p w:rsidR="00B30102" w:rsidRDefault="00B30102" w:rsidP="00B30102">
      <w:pPr>
        <w:tabs>
          <w:tab w:val="left" w:pos="1701"/>
          <w:tab w:val="left" w:pos="1985"/>
        </w:tabs>
        <w:spacing w:after="0"/>
        <w:ind w:left="1980" w:hanging="1980"/>
      </w:pPr>
      <w:r>
        <w:t>Deutung:</w:t>
      </w:r>
      <w:r>
        <w:tab/>
      </w:r>
      <w:r>
        <w:tab/>
      </w:r>
      <w:r>
        <w:tab/>
        <w:t>Die Hygroskopische Wirkung der Schwefelsäure entzieht den Kohlenhy</w:t>
      </w:r>
      <w:r>
        <w:t>d</w:t>
      </w:r>
      <w:r>
        <w:t>raten das Wasser, wodurch die Struktur zerstört wird. Der kleinste Ba</w:t>
      </w:r>
      <w:r>
        <w:t>u</w:t>
      </w:r>
      <w:r>
        <w:t>stein dieser organischen Substanzen ist der Kohlenstoff, der anhand der chara</w:t>
      </w:r>
      <w:r>
        <w:t>k</w:t>
      </w:r>
      <w:r>
        <w:t>teristischen Farbe leicht erkannt werden kann.</w:t>
      </w:r>
    </w:p>
    <w:p w:rsidR="00B30102" w:rsidRDefault="00B30102" w:rsidP="00B30102">
      <w:pPr>
        <w:tabs>
          <w:tab w:val="left" w:pos="1701"/>
          <w:tab w:val="left" w:pos="1985"/>
        </w:tabs>
        <w:spacing w:after="0"/>
        <w:ind w:left="1980" w:hanging="1980"/>
      </w:pPr>
      <w:r>
        <w:tab/>
      </w:r>
      <w:r>
        <w:tab/>
        <w:t>Die Reaktionsgleichung für den hygroskopischen Zerfall am Beispiel von Zucker:</w:t>
      </w:r>
    </w:p>
    <w:p w:rsidR="00B30102" w:rsidRPr="007A33B3" w:rsidRDefault="00B30102" w:rsidP="00B30102">
      <w:pPr>
        <w:tabs>
          <w:tab w:val="left" w:pos="1701"/>
          <w:tab w:val="left" w:pos="1985"/>
        </w:tabs>
        <w:spacing w:after="0"/>
        <w:ind w:left="1980" w:hanging="1980"/>
      </w:pPr>
      <m:oMathPara>
        <m:oMathParaPr>
          <m:jc m:val="left"/>
        </m:oMathParaP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6</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12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6</m:t>
                  </m:r>
                </m:sub>
              </m:sSub>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6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e>
            <m:sub>
              <m:r>
                <m:rPr>
                  <m:sty m:val="p"/>
                </m:rPr>
                <w:rPr>
                  <w:rFonts w:ascii="Cambria Math" w:hAnsi="Cambria Math"/>
                </w:rPr>
                <m:t>(aq)</m:t>
              </m:r>
            </m:sub>
          </m:sSub>
          <m:r>
            <m:rPr>
              <m:sty m:val="p"/>
            </m:rPr>
            <w:rPr>
              <w:rFonts w:ascii="Cambria Math" w:hAnsi="Cambria Math"/>
            </w:rPr>
            <m:t xml:space="preserve">→6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6 </m:t>
              </m:r>
              <m:sSup>
                <m:sSupPr>
                  <m:ctrlPr>
                    <w:rPr>
                      <w:rFonts w:ascii="Cambria Math" w:hAnsi="Cambria Math"/>
                    </w:rPr>
                  </m:ctrlPr>
                </m:sSupPr>
                <m:e>
                  <m:r>
                    <m:rPr>
                      <m:sty m:val="p"/>
                    </m:rPr>
                    <w:rPr>
                      <w:rFonts w:ascii="Cambria Math" w:hAnsi="Cambria Math"/>
                    </w:rPr>
                    <m:t>HS</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4</m:t>
                      </m:r>
                    </m:sub>
                  </m:sSub>
                </m:e>
                <m:sup>
                  <m:r>
                    <w:rPr>
                      <w:rFonts w:ascii="Cambria Math" w:hAnsi="Cambria Math"/>
                    </w:rPr>
                    <m:t>-</m:t>
                  </m:r>
                </m:sup>
              </m:sSup>
            </m:e>
            <m:sub>
              <m:r>
                <m:rPr>
                  <m:sty m:val="p"/>
                </m:rPr>
                <w:rPr>
                  <w:rFonts w:ascii="Cambria Math" w:hAnsi="Cambria Math"/>
                </w:rPr>
                <m:t>(aq)</m:t>
              </m:r>
            </m:sub>
          </m:sSub>
          <m:r>
            <m:rPr>
              <m:sty m:val="p"/>
            </m:rPr>
            <w:rPr>
              <w:rFonts w:ascii="Cambria Math" w:hAnsi="Cambria Math"/>
            </w:rPr>
            <m:t xml:space="preserve">+6 </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r>
                    <m:rPr>
                      <m:sty m:val="p"/>
                    </m:rPr>
                    <w:rPr>
                      <w:rFonts w:ascii="Cambria Math" w:hAnsi="Cambria Math"/>
                    </w:rPr>
                    <m:t>O</m:t>
                  </m:r>
                </m:e>
                <m:sup>
                  <m:r>
                    <w:rPr>
                      <w:rFonts w:ascii="Cambria Math" w:hAnsi="Cambria Math"/>
                    </w:rPr>
                    <m:t>+</m:t>
                  </m:r>
                </m:sup>
              </m:sSup>
            </m:e>
            <m:sub>
              <m:r>
                <m:rPr>
                  <m:sty m:val="p"/>
                </m:rPr>
                <w:rPr>
                  <w:rFonts w:ascii="Cambria Math" w:hAnsi="Cambria Math"/>
                </w:rPr>
                <m:t>(aq)</m:t>
              </m:r>
            </m:sub>
          </m:sSub>
        </m:oMath>
      </m:oMathPara>
    </w:p>
    <w:p w:rsidR="00B30102" w:rsidRPr="00080971" w:rsidRDefault="00B30102" w:rsidP="00B30102">
      <w:pPr>
        <w:tabs>
          <w:tab w:val="left" w:pos="1701"/>
          <w:tab w:val="left" w:pos="1985"/>
        </w:tabs>
        <w:spacing w:after="0"/>
        <w:ind w:left="1980" w:hanging="1980"/>
      </w:pPr>
      <w:r>
        <w:t>Entsorgung:</w:t>
      </w:r>
      <w:r>
        <w:tab/>
      </w:r>
      <w:r>
        <w:tab/>
        <w:t>Auf das Reaktionsgemisch wird Wasser gegeben, neutralisiert und in den Abfluss gegeben.</w:t>
      </w:r>
    </w:p>
    <w:p w:rsidR="00B30102" w:rsidRDefault="00B30102" w:rsidP="00B30102">
      <w:pPr>
        <w:spacing w:line="276" w:lineRule="auto"/>
        <w:ind w:left="1985" w:hanging="1985"/>
        <w:jc w:val="left"/>
      </w:pPr>
      <w:r>
        <w:t>Literatur:</w:t>
      </w:r>
      <w:r>
        <w:tab/>
      </w:r>
      <w:r>
        <w:rPr>
          <w:rFonts w:ascii="Helvetica" w:hAnsi="Helvetica" w:cs="Helvetica"/>
          <w:sz w:val="20"/>
          <w:szCs w:val="20"/>
        </w:rPr>
        <w:t>D.</w:t>
      </w:r>
      <w:r w:rsidRPr="0099625A">
        <w:rPr>
          <w:rFonts w:asciiTheme="majorHAnsi" w:hAnsiTheme="majorHAnsi" w:cs="Helvetica"/>
        </w:rPr>
        <w:t xml:space="preserve"> </w:t>
      </w:r>
      <w:proofErr w:type="spellStart"/>
      <w:r w:rsidRPr="0099625A">
        <w:rPr>
          <w:rFonts w:asciiTheme="majorHAnsi" w:hAnsiTheme="majorHAnsi" w:cs="Helvetica"/>
        </w:rPr>
        <w:t>Wiechoczek</w:t>
      </w:r>
      <w:proofErr w:type="spellEnd"/>
      <w:r>
        <w:rPr>
          <w:rFonts w:ascii="Helvetica" w:hAnsi="Helvetica" w:cs="Helvetica"/>
          <w:sz w:val="20"/>
          <w:szCs w:val="20"/>
        </w:rPr>
        <w:t>,</w:t>
      </w:r>
      <w:r>
        <w:t xml:space="preserve"> </w:t>
      </w:r>
      <w:r w:rsidRPr="002C5DCA">
        <w:t>http://www.chemieunterricht.de/dc2/kh/kh-h2so4.htm</w:t>
      </w:r>
      <w:r>
        <w:t>, 5.08.2013, 21:33 Uhr.</w:t>
      </w:r>
    </w:p>
    <w:p w:rsidR="00B30102" w:rsidRDefault="00B30102" w:rsidP="00B30102">
      <w:pPr>
        <w:spacing w:line="276" w:lineRule="auto"/>
        <w:ind w:left="1985" w:hanging="1985"/>
        <w:jc w:val="left"/>
      </w:pPr>
      <w:r>
        <w:tab/>
        <w:t>K. Sommer &amp; H.-J. Jahns, Chemische Versuche im Unterricht – Teil 1, O. Schmidt KG, 1961, S. 131 &amp; 132.</w:t>
      </w:r>
    </w:p>
    <w:p w:rsidR="00B30102" w:rsidRDefault="00B30102" w:rsidP="00B30102">
      <w:pPr>
        <w:spacing w:line="276" w:lineRule="auto"/>
        <w:ind w:left="1985" w:hanging="1985"/>
        <w:jc w:val="left"/>
      </w:pPr>
      <w:r>
        <w:rPr>
          <w:noProof/>
          <w:lang w:eastAsia="zh-TW"/>
        </w:rPr>
        <mc:AlternateContent>
          <mc:Choice Requires="wps">
            <w:drawing>
              <wp:inline distT="0" distB="0" distL="0" distR="0" wp14:anchorId="620A3DD8" wp14:editId="3DF36787">
                <wp:extent cx="5760720" cy="1562100"/>
                <wp:effectExtent l="0" t="0" r="11430" b="19050"/>
                <wp:docPr id="3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562100"/>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0102" w:rsidRPr="00000C8C" w:rsidRDefault="00B30102" w:rsidP="00B30102">
                            <w:r>
                              <w:t xml:space="preserve">In diesem Showexperiment wird mit konzentrierter Schwefelsäure gearbeitet, deshalb sollte er dringend von der Lehrperson mit entsprechender Schutzkleidung durchgeführt werden. Um besser beobachten zu können, bietet es sich an ggf. eine Kamera zu benutzen, wodurch alle </w:t>
                            </w:r>
                            <w:proofErr w:type="spellStart"/>
                            <w:r>
                              <w:t>SuS</w:t>
                            </w:r>
                            <w:proofErr w:type="spellEnd"/>
                            <w:r>
                              <w:t xml:space="preserve"> gleichermaßen gut beobachten können, obwohl das Experiment auf dem Lehrertisch stattfindet. Den </w:t>
                            </w:r>
                            <w:proofErr w:type="spellStart"/>
                            <w:r>
                              <w:t>SuS</w:t>
                            </w:r>
                            <w:proofErr w:type="spellEnd"/>
                            <w:r>
                              <w:t xml:space="preserve"> sollte nach diesem Versuch die Gefahr der Schwefelsäure bewusst sein und für Folgeexperimente für den Umgang mit dieser Säure sensibilisiert haben.</w:t>
                            </w:r>
                          </w:p>
                        </w:txbxContent>
                      </wps:txbx>
                      <wps:bodyPr rot="0" vert="horz" wrap="square" lIns="91440" tIns="45720" rIns="91440" bIns="45720" anchor="t" anchorCtr="0" upright="1">
                        <a:noAutofit/>
                      </wps:bodyPr>
                    </wps:wsp>
                  </a:graphicData>
                </a:graphic>
              </wp:inline>
            </w:drawing>
          </mc:Choice>
          <mc:Fallback>
            <w:pict>
              <v:shape id="Text Box 133" o:spid="_x0000_s1027" type="#_x0000_t202" style="width:453.6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" strokecolor="#c0504d" strokeweight="1pt">
                <v:stroke dashstyle="dash"/>
                <v:shadow color="#868686"/>
                <v:textbox>
                  <w:txbxContent>
                    <w:p w:rsidR="00B30102" w:rsidRPr="00000C8C" w:rsidRDefault="00B30102" w:rsidP="00B30102">
                      <w:r>
                        <w:t xml:space="preserve">In diesem Showexperiment wird mit konzentrierter Schwefelsäure gearbeitet, deshalb sollte er dringend von der Lehrperson mit entsprechender Schutzkleidung durchgeführt werden. Um besser beobachten zu können, bietet es sich an ggf. eine Kamera zu benutzen, wodurch alle </w:t>
                      </w:r>
                      <w:proofErr w:type="spellStart"/>
                      <w:r>
                        <w:t>SuS</w:t>
                      </w:r>
                      <w:proofErr w:type="spellEnd"/>
                      <w:r>
                        <w:t xml:space="preserve"> gleichermaßen gut beobachten können, obwohl das Experiment auf dem Lehrertisch stattfindet. Den </w:t>
                      </w:r>
                      <w:proofErr w:type="spellStart"/>
                      <w:r>
                        <w:t>SuS</w:t>
                      </w:r>
                      <w:proofErr w:type="spellEnd"/>
                      <w:r>
                        <w:t xml:space="preserve"> sollte nach diesem Versuch die Gefahr der Schwefelsäure bewusst sein und für Folgeexperimente für den Umgang mit dieser Säure sensibilisiert haben.</w:t>
                      </w:r>
                    </w:p>
                  </w:txbxContent>
                </v:textbox>
                <w10:anchorlock/>
              </v:shape>
            </w:pict>
          </mc:Fallback>
        </mc:AlternateContent>
      </w:r>
    </w:p>
    <w:p w:rsidR="00BE6DD9" w:rsidRPr="00B30102" w:rsidRDefault="00BE6DD9" w:rsidP="00B30102"/>
    <w:sectPr w:rsidR="00BE6DD9" w:rsidRPr="00B30102" w:rsidSect="00105256">
      <w:headerReference w:type="default" r:id="rId19"/>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B51" w:rsidRDefault="00373B51" w:rsidP="009524CC">
      <w:pPr>
        <w:spacing w:after="0"/>
      </w:pPr>
      <w:r>
        <w:separator/>
      </w:r>
    </w:p>
  </w:endnote>
  <w:endnote w:type="continuationSeparator" w:id="0">
    <w:p w:rsidR="00373B51" w:rsidRDefault="00373B51"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B51" w:rsidRDefault="00373B51" w:rsidP="009524CC">
      <w:pPr>
        <w:spacing w:after="0"/>
      </w:pPr>
      <w:r>
        <w:separator/>
      </w:r>
    </w:p>
  </w:footnote>
  <w:footnote w:type="continuationSeparator" w:id="0">
    <w:p w:rsidR="00373B51" w:rsidRDefault="00373B51"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B30102" w:rsidRPr="00B30102">
            <w:rPr>
              <w:b/>
              <w:bCs/>
              <w:noProof/>
              <w:sz w:val="20"/>
              <w:szCs w:val="20"/>
            </w:rPr>
            <w:t>V 3 –Der Einfluss von Schwefelsäure auf Kohlenhydrate</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B30102">
            <w:rPr>
              <w:noProof/>
              <w:sz w:val="20"/>
              <w:szCs w:val="20"/>
            </w:rPr>
            <w:t>2</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3A6B"/>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3B51"/>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102"/>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0AE"/>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22A"/>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61436-C998-407B-8C47-3D7735D1A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259</Words>
  <Characters>1633</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Niklas Heier</cp:lastModifiedBy>
  <cp:revision>2</cp:revision>
  <cp:lastPrinted>2012-06-21T19:47:00Z</cp:lastPrinted>
  <dcterms:created xsi:type="dcterms:W3CDTF">2013-08-14T20:10:00Z</dcterms:created>
  <dcterms:modified xsi:type="dcterms:W3CDTF">2013-08-14T20:10:00Z</dcterms:modified>
</cp:coreProperties>
</file>