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C4" w:rsidRDefault="007760C4" w:rsidP="007760C4">
      <w:pPr>
        <w:pStyle w:val="berschrift2"/>
      </w:pPr>
      <w:bookmarkStart w:id="0" w:name="_Toc364011661"/>
      <w:r>
        <w:t>V 1 – Nachweis von Chlorid-Ionen in Haushaltsreiniger</w:t>
      </w:r>
      <w:bookmarkEnd w:id="0"/>
    </w:p>
    <w:p w:rsidR="007760C4" w:rsidRDefault="007760C4" w:rsidP="007760C4">
      <w:r>
        <w:rPr>
          <w:noProof/>
          <w:lang w:eastAsia="de-DE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62.45pt;height:62.75pt;mso-position-horizontal-relative:char;mso-position-vertical-relative:line;mso-width-relative:margin;mso-height-relative:margin" fillcolor="white [3201]" strokecolor="#4bacc6 [3208]" strokeweight="1pt">
            <v:stroke dashstyle="dash"/>
            <v:shadow color="#868686"/>
            <v:textbox style="mso-next-textbox:#_x0000_s1028">
              <w:txbxContent>
                <w:p w:rsidR="007760C4" w:rsidRPr="000F670B" w:rsidRDefault="007760C4" w:rsidP="007760C4">
                  <w:pPr>
                    <w:rPr>
                      <w:color w:val="auto"/>
                    </w:rPr>
                  </w:pPr>
                  <w:r w:rsidRPr="000F670B">
                    <w:rPr>
                      <w:color w:val="auto"/>
                    </w:rPr>
                    <w:t xml:space="preserve">Dieser Versuch beschreibt die Freisetzung von Chlor bei der Verwendung von Hypochlorit-haltigen Haushaltsreinigern mit Essigsäure. Die SuS sollten einfache </w:t>
                  </w:r>
                  <w:proofErr w:type="spellStart"/>
                  <w:r w:rsidRPr="000F670B">
                    <w:rPr>
                      <w:color w:val="auto"/>
                    </w:rPr>
                    <w:t>Redoxgleichungen</w:t>
                  </w:r>
                  <w:proofErr w:type="spellEnd"/>
                  <w:r w:rsidRPr="000F670B">
                    <w:rPr>
                      <w:color w:val="auto"/>
                    </w:rPr>
                    <w:t xml:space="preserve"> aufste</w:t>
                  </w:r>
                  <w:r w:rsidRPr="000F670B">
                    <w:rPr>
                      <w:color w:val="auto"/>
                    </w:rPr>
                    <w:t>l</w:t>
                  </w:r>
                  <w:r w:rsidRPr="000F670B">
                    <w:rPr>
                      <w:color w:val="auto"/>
                    </w:rPr>
                    <w:t xml:space="preserve">len können. 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760C4" w:rsidRPr="009C5E28" w:rsidTr="00F04CAB">
        <w:tc>
          <w:tcPr>
            <w:tcW w:w="9322" w:type="dxa"/>
            <w:gridSpan w:val="9"/>
            <w:shd w:val="clear" w:color="auto" w:fill="4F81BD"/>
            <w:vAlign w:val="center"/>
          </w:tcPr>
          <w:p w:rsidR="007760C4" w:rsidRPr="009C5E28" w:rsidRDefault="007760C4" w:rsidP="00F04CAB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7760C4" w:rsidRPr="009C5E28" w:rsidTr="00F04CA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60C4" w:rsidRPr="0094024B" w:rsidRDefault="007760C4" w:rsidP="00F04CAB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4024B">
              <w:rPr>
                <w:sz w:val="20"/>
                <w:szCs w:val="20"/>
              </w:rPr>
              <w:t>Hypochlorit-haltiger Haushalt</w:t>
            </w:r>
            <w:r w:rsidRPr="0094024B">
              <w:rPr>
                <w:sz w:val="20"/>
                <w:szCs w:val="20"/>
              </w:rPr>
              <w:t>s</w:t>
            </w:r>
            <w:r w:rsidRPr="0094024B">
              <w:rPr>
                <w:sz w:val="20"/>
                <w:szCs w:val="20"/>
              </w:rPr>
              <w:t>reiniger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60C4" w:rsidRPr="0094024B" w:rsidRDefault="007760C4" w:rsidP="00F04CAB">
            <w:pPr>
              <w:spacing w:after="0"/>
              <w:jc w:val="center"/>
              <w:rPr>
                <w:sz w:val="20"/>
                <w:szCs w:val="20"/>
              </w:rPr>
            </w:pPr>
            <w:r w:rsidRPr="0094024B">
              <w:rPr>
                <w:sz w:val="20"/>
                <w:szCs w:val="20"/>
              </w:rPr>
              <w:t>H: 314-400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760C4" w:rsidRPr="0094024B" w:rsidRDefault="007760C4" w:rsidP="00F04CAB">
            <w:pPr>
              <w:spacing w:after="0"/>
              <w:jc w:val="center"/>
              <w:rPr>
                <w:sz w:val="20"/>
                <w:szCs w:val="20"/>
              </w:rPr>
            </w:pPr>
            <w:r w:rsidRPr="0094024B">
              <w:rPr>
                <w:sz w:val="20"/>
                <w:szCs w:val="20"/>
              </w:rPr>
              <w:t>P: 260-301+330+331-303+361+353-305+351+338-405-501</w:t>
            </w:r>
          </w:p>
        </w:tc>
      </w:tr>
      <w:tr w:rsidR="007760C4" w:rsidRPr="009C5E28" w:rsidTr="00F04CA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760C4" w:rsidRPr="0094024B" w:rsidRDefault="007760C4" w:rsidP="00F04CAB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94024B">
              <w:rPr>
                <w:color w:val="auto"/>
                <w:sz w:val="20"/>
                <w:szCs w:val="20"/>
              </w:rPr>
              <w:t>Essigsäure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760C4" w:rsidRPr="0094024B" w:rsidRDefault="007760C4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94024B">
              <w:rPr>
                <w:sz w:val="20"/>
                <w:szCs w:val="20"/>
              </w:rPr>
              <w:t>H: 314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760C4" w:rsidRPr="0094024B" w:rsidRDefault="007760C4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94024B">
              <w:rPr>
                <w:sz w:val="20"/>
                <w:szCs w:val="20"/>
              </w:rPr>
              <w:t>P: 280-301+330+331-305+351+338</w:t>
            </w:r>
          </w:p>
        </w:tc>
      </w:tr>
      <w:tr w:rsidR="007760C4" w:rsidRPr="009C5E28" w:rsidTr="00F04CA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760C4" w:rsidRPr="0094024B" w:rsidRDefault="007760C4" w:rsidP="00F04CA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Kaliumiodid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760C4" w:rsidRPr="0094024B" w:rsidRDefault="007760C4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760C4" w:rsidRPr="0094024B" w:rsidRDefault="007760C4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-</w:t>
            </w:r>
          </w:p>
        </w:tc>
      </w:tr>
      <w:tr w:rsidR="007760C4" w:rsidRPr="009C5E28" w:rsidTr="00F04CA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760C4" w:rsidRPr="0094024B" w:rsidRDefault="007760C4" w:rsidP="00F04CA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Dest. 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760C4" w:rsidRPr="0094024B" w:rsidRDefault="007760C4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760C4" w:rsidRPr="0094024B" w:rsidRDefault="007760C4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-</w:t>
            </w:r>
          </w:p>
        </w:tc>
      </w:tr>
      <w:tr w:rsidR="007760C4" w:rsidRPr="009C5E28" w:rsidTr="00F04CA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60C4" w:rsidRPr="009C5E28" w:rsidRDefault="007760C4" w:rsidP="00F04C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5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60C4" w:rsidRPr="009C5E28" w:rsidRDefault="007760C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8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60C4" w:rsidRPr="009C5E28" w:rsidRDefault="007760C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60C4" w:rsidRPr="009C5E28" w:rsidRDefault="007760C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4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60C4" w:rsidRPr="009C5E28" w:rsidRDefault="007760C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60C4" w:rsidRPr="009C5E28" w:rsidRDefault="007760C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7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60C4" w:rsidRPr="009C5E28" w:rsidRDefault="007760C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760C4" w:rsidRPr="009C5E28" w:rsidRDefault="007760C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59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760C4" w:rsidRPr="009C5E28" w:rsidRDefault="007760C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61" name="Grafik 4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0C4" w:rsidRDefault="007760C4" w:rsidP="007760C4">
      <w:pPr>
        <w:tabs>
          <w:tab w:val="left" w:pos="1701"/>
          <w:tab w:val="left" w:pos="1985"/>
        </w:tabs>
        <w:ind w:left="1980" w:hanging="1980"/>
      </w:pPr>
    </w:p>
    <w:p w:rsidR="007760C4" w:rsidRDefault="007760C4" w:rsidP="007760C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Standzylinder, Uhrglas, Filterpapier, Spatel, Becherglas</w:t>
      </w:r>
    </w:p>
    <w:p w:rsidR="007760C4" w:rsidRDefault="007760C4" w:rsidP="007760C4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Hypochlorit-haltiger Haushaltsreiniger, Essigsäure (Essigessenz), Kaliu</w:t>
      </w:r>
      <w:r>
        <w:t>m</w:t>
      </w:r>
      <w:r>
        <w:t>iodid, dest. Wasser</w:t>
      </w:r>
    </w:p>
    <w:p w:rsidR="007760C4" w:rsidRDefault="007760C4" w:rsidP="007760C4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In einem Becherglas werden 2 Spatel Kaliumiodid in ca. 100 ml destillie</w:t>
      </w:r>
      <w:r>
        <w:t>r</w:t>
      </w:r>
      <w:r>
        <w:t>tem Wasser gelöst. Ein Stück Filterpapier wird in die Kaliumiodid-Lösung gegeben und anschließend auf ein Uhrglas gelegt. Nun wird in den Standz</w:t>
      </w:r>
      <w:r>
        <w:t>y</w:t>
      </w:r>
      <w:r>
        <w:t>linder etwas Haushaltsreiniger gefüllt und dieser mit Essigsäure versetzt. Anschließend wird der Standzylinder mit dem Uhrglas verschlossen.</w:t>
      </w:r>
    </w:p>
    <w:p w:rsidR="007760C4" w:rsidRDefault="007760C4" w:rsidP="007760C4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Bei der Zugabe von Essigsäure bildet sich ein Gas. Nach einiger Zeit fängt das Filterpapier an, sich bräunlich zu verfärben.</w:t>
      </w:r>
    </w:p>
    <w:p w:rsidR="007760C4" w:rsidRDefault="007760C4" w:rsidP="007760C4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2242868" cy="1682151"/>
            <wp:effectExtent l="19050" t="0" r="5032" b="0"/>
            <wp:docPr id="62" name="Grafik 31" descr="WP_00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30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896" cy="168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241071" cy="1680803"/>
            <wp:effectExtent l="19050" t="0" r="6829" b="0"/>
            <wp:docPr id="65" name="Grafik 42" descr="WP_00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31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185" cy="168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0C4" w:rsidRDefault="007760C4" w:rsidP="007760C4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1</w:t>
        </w:r>
      </w:fldSimple>
      <w:r>
        <w:t xml:space="preserve">: </w:t>
      </w:r>
      <w:r>
        <w:rPr>
          <w:noProof/>
        </w:rPr>
        <w:t>Gasentwicklung nach der Zugabe von Essigsäure (links)</w:t>
      </w:r>
      <w:r>
        <w:t>, Verfärbung des Filterpapier (rechts)</w:t>
      </w:r>
    </w:p>
    <w:p w:rsidR="007760C4" w:rsidRDefault="007760C4" w:rsidP="007760C4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Es finden zwei Redoxreaktionen statt. Bei der Zugabe von Essigsäure en</w:t>
      </w:r>
      <w:r>
        <w:t>t</w:t>
      </w:r>
      <w:r>
        <w:t>steht aus den Hypochlorit- und Chlorid-Ionen durch Synproportionierung Chlorgas. Dieses oxidiert die Iodid-Ionen zu Iod, wodurch sich das Filterp</w:t>
      </w:r>
      <w:r>
        <w:t>a</w:t>
      </w:r>
      <w:r>
        <w:t>pier braun verfärbt.</w:t>
      </w:r>
    </w:p>
    <w:p w:rsidR="007760C4" w:rsidRPr="003F2166" w:rsidRDefault="007760C4" w:rsidP="007760C4">
      <w:pPr>
        <w:tabs>
          <w:tab w:val="left" w:pos="1701"/>
          <w:tab w:val="left" w:pos="1985"/>
        </w:tabs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 xml:space="preserve"> 2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Na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ClO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Cl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2 H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 →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2 Na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(l)</m:t>
            </m:r>
          </m:sub>
        </m:sSub>
        <m:r>
          <w:rPr>
            <w:rFonts w:ascii="Cambria Math" w:hAnsi="Cambria Math"/>
          </w:rPr>
          <m:t xml:space="preserve">+                                                                                                                                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Cl</m:t>
            </m:r>
          </m:e>
          <m:sub>
            <m:r>
              <w:rPr>
                <w:rFonts w:ascii="Cambria Math" w:hAnsi="Cambria Math"/>
              </w:rPr>
              <m:t>2 (g)</m:t>
            </m:r>
          </m:sub>
        </m:sSub>
        <m:r>
          <w:rPr>
            <w:rFonts w:ascii="Cambria Math" w:hAnsi="Cambria Math"/>
          </w:rPr>
          <m:t>↑</m:t>
        </m:r>
      </m:oMath>
    </w:p>
    <w:p w:rsidR="007760C4" w:rsidRDefault="007760C4" w:rsidP="007760C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2 I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Cl</m:t>
            </m:r>
          </m:e>
          <m:sub>
            <m:r>
              <w:rPr>
                <w:rFonts w:ascii="Cambria Math" w:eastAsiaTheme="minorEastAsia" w:hAnsi="Cambria Math"/>
              </w:rPr>
              <m:t>2 (g)</m:t>
            </m:r>
          </m:sub>
          <m:sup/>
        </m:sSubSup>
        <m:r>
          <w:rPr>
            <w:rFonts w:ascii="Cambria Math" w:eastAsiaTheme="minorEastAsia" w:hAnsi="Cambria Math"/>
          </w:rPr>
          <m:t xml:space="preserve"> →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 (aq)</m:t>
            </m:r>
          </m:sub>
        </m:sSub>
        <m:r>
          <w:rPr>
            <w:rFonts w:ascii="Cambria Math" w:eastAsiaTheme="minorEastAsia" w:hAnsi="Cambria Math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2 Cl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</m:oMath>
    </w:p>
    <w:p w:rsidR="007760C4" w:rsidRPr="0099242C" w:rsidRDefault="007760C4" w:rsidP="007760C4">
      <w:pPr>
        <w:rPr>
          <w:color w:val="auto"/>
        </w:rPr>
      </w:pPr>
      <w:r>
        <w:rPr>
          <w:rFonts w:eastAsiaTheme="minorEastAsia"/>
        </w:rPr>
        <w:t>Entsorgung: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99242C">
        <w:rPr>
          <w:color w:val="auto"/>
        </w:rPr>
        <w:t xml:space="preserve">Die Lösung kann den halogenhaltigen Abfällen zugeführt werden. Das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9242C">
        <w:rPr>
          <w:color w:val="auto"/>
        </w:rPr>
        <w:t xml:space="preserve">Filterpapier wird zunächst mit Natriumthiosulfat-Lösung behandelt und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9242C">
        <w:rPr>
          <w:color w:val="auto"/>
        </w:rPr>
        <w:t>danach im Hausmüll entsorgt.</w:t>
      </w:r>
    </w:p>
    <w:p w:rsidR="007760C4" w:rsidRPr="00FC404E" w:rsidRDefault="007760C4" w:rsidP="007760C4">
      <w:pPr>
        <w:rPr>
          <w:rFonts w:eastAsiaTheme="minorEastAsia"/>
        </w:rPr>
      </w:pPr>
    </w:p>
    <w:p w:rsidR="007760C4" w:rsidRDefault="007760C4" w:rsidP="007760C4">
      <w:pPr>
        <w:tabs>
          <w:tab w:val="left" w:pos="1701"/>
          <w:tab w:val="left" w:pos="1985"/>
        </w:tabs>
        <w:ind w:left="1980" w:hanging="1980"/>
        <w:jc w:val="left"/>
      </w:pPr>
      <w:r w:rsidRPr="000F64A0">
        <w:t>Literatur:</w:t>
      </w:r>
      <w:r w:rsidRPr="000F64A0">
        <w:tab/>
      </w:r>
      <w:r w:rsidRPr="000F64A0">
        <w:tab/>
        <w:t xml:space="preserve">J. </w:t>
      </w:r>
      <w:proofErr w:type="spellStart"/>
      <w:r w:rsidRPr="000F64A0">
        <w:t>B</w:t>
      </w:r>
      <w:r>
        <w:t>öcher</w:t>
      </w:r>
      <w:proofErr w:type="spellEnd"/>
      <w:r>
        <w:t xml:space="preserve">, </w:t>
      </w:r>
      <w:r>
        <w:tab/>
      </w:r>
      <w:r w:rsidRPr="000F64A0">
        <w:t>http://www.chids.de/dachs/expvortr/719Halogenverbindungen_Boecher.pdf</w:t>
      </w:r>
      <w:r>
        <w:t>, WS05/06 (Zuletzt abgerufen am 04.08.2013 um 11.30 Uhr)</w:t>
      </w:r>
    </w:p>
    <w:p w:rsidR="007760C4" w:rsidRDefault="007760C4" w:rsidP="007760C4">
      <w:pPr>
        <w:tabs>
          <w:tab w:val="left" w:pos="1701"/>
          <w:tab w:val="left" w:pos="1985"/>
        </w:tabs>
        <w:ind w:left="1980" w:hanging="1980"/>
      </w:pPr>
      <w:r>
        <w:pict>
          <v:shape id="_x0000_s1026" type="#_x0000_t202" style="width:462.45pt;height:24.1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7760C4" w:rsidRPr="0099242C" w:rsidRDefault="007760C4" w:rsidP="007760C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Der Versuch sollte vorzugsweise in einem Abzug durchgeführt werden.</w:t>
                  </w:r>
                </w:p>
              </w:txbxContent>
            </v:textbox>
            <w10:wrap type="none"/>
            <w10:anchorlock/>
          </v:shape>
        </w:pict>
      </w:r>
    </w:p>
    <w:p w:rsidR="00571E98" w:rsidRDefault="00B71445"/>
    <w:sectPr w:rsidR="00571E98" w:rsidSect="00842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60C4"/>
    <w:rsid w:val="00007942"/>
    <w:rsid w:val="00065F38"/>
    <w:rsid w:val="000B2B21"/>
    <w:rsid w:val="00532490"/>
    <w:rsid w:val="006D58AC"/>
    <w:rsid w:val="007760C4"/>
    <w:rsid w:val="007A7EC8"/>
    <w:rsid w:val="008421E2"/>
    <w:rsid w:val="00A40FB1"/>
    <w:rsid w:val="00B71445"/>
    <w:rsid w:val="00BF3520"/>
    <w:rsid w:val="00C5025D"/>
    <w:rsid w:val="00E7230F"/>
    <w:rsid w:val="00ED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60C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60C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60C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760C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60C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60C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0C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60C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60C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60C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60C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60C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60C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6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6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6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60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6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760C4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0C4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</dc:creator>
  <cp:lastModifiedBy>Prinzessin</cp:lastModifiedBy>
  <cp:revision>1</cp:revision>
  <dcterms:created xsi:type="dcterms:W3CDTF">2013-08-14T07:52:00Z</dcterms:created>
  <dcterms:modified xsi:type="dcterms:W3CDTF">2013-08-14T07:54:00Z</dcterms:modified>
</cp:coreProperties>
</file>