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0E" w:rsidRDefault="00D7500E" w:rsidP="00D7500E">
      <w:pPr>
        <w:pStyle w:val="berschrift2"/>
        <w:numPr>
          <w:ilvl w:val="0"/>
          <w:numId w:val="0"/>
        </w:numPr>
        <w:ind w:left="576"/>
      </w:pPr>
      <w:bookmarkStart w:id="0" w:name="_Toc364011668"/>
      <w:r>
        <w:t>V 7 – Nachweis von Iodid-Ionen mit Kaliumpermanganat</w:t>
      </w:r>
      <w:bookmarkEnd w:id="0"/>
    </w:p>
    <w:p w:rsidR="00D7500E" w:rsidRDefault="00D7500E" w:rsidP="00D7500E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462.45pt;height:46.9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46">
              <w:txbxContent>
                <w:p w:rsidR="00D7500E" w:rsidRPr="0099242C" w:rsidRDefault="00D7500E" w:rsidP="00D7500E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 xml:space="preserve">Dieser Versuch ist eine weitere Alternative zum Nachweis von Iod, wobei der Nachweis auf eine Redoxreaktion zurückzuführen ist. 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500E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7500E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210-273</w:t>
            </w:r>
          </w:p>
        </w:tc>
      </w:tr>
      <w:tr w:rsidR="00D7500E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Default="00D7500E" w:rsidP="00F04CA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Jodiertes Speisesalz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7500E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Default="00D7500E" w:rsidP="00F04CA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Dest.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7500E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14" name="Grafik 50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15" name="Grafik 7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2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500E" w:rsidRPr="009C5E28" w:rsidRDefault="00D7500E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22" name="Grafik 78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Pasteurpipetten, Spatel</w:t>
      </w: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jodiertes Speisesalz, verd. Kaliumpermanganatlösung, dest. Wasser</w:t>
      </w: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Reagenzglas werden 3 Spatelspitzen Speisesalz in dest. Wasser gelöst. Anschließend gibt man 1 Tropfen Kaliumpermanganatlösung hinzu.</w:t>
      </w: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violette Kaliumpermanganatlösung entfärbt sich bei der Zugabe und es entsteht ein brauner Ring. </w:t>
      </w:r>
    </w:p>
    <w:p w:rsidR="00D7500E" w:rsidRDefault="00D7500E" w:rsidP="00D7500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766618" cy="1599946"/>
            <wp:effectExtent l="19050" t="0" r="5032" b="0"/>
            <wp:docPr id="123" name="Grafik 79" descr="WP_0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50.jpg"/>
                    <pic:cNvPicPr/>
                  </pic:nvPicPr>
                  <pic:blipFill>
                    <a:blip r:embed="rId14" cstate="print"/>
                    <a:srcRect r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1766618" cy="159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0E" w:rsidRDefault="00D7500E" w:rsidP="00D7500E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7</w:t>
        </w:r>
      </w:fldSimple>
      <w:r>
        <w:t>: Kaliumpermanganatlösung (links), Entfärbung nach Zugabe der Kaliumpermanganatlösung (rechts)</w:t>
      </w: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</w:pPr>
      <w:r w:rsidRPr="00BC28B4">
        <w:t>Deutung:</w:t>
      </w:r>
      <w:r>
        <w:tab/>
      </w:r>
      <w:r>
        <w:tab/>
        <w:t>Es hat eine Redoxreaktion stattgefunden. Die Permanganat-Ionen oxidieren die Iodid-Ionen zu Iod, wobei sie selbst zu Mangan(II)-Ionen reduziert werden. Durch das entstehende Iod bildet sich der braune Ring.</w:t>
      </w:r>
    </w:p>
    <w:p w:rsidR="00D7500E" w:rsidRDefault="00D7500E" w:rsidP="00D7500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MnO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→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2+</m:t>
            </m:r>
          </m:sup>
        </m:sSubSup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 (aq)</m:t>
            </m:r>
          </m:sub>
        </m:sSub>
      </m:oMath>
    </w:p>
    <w:p w:rsidR="00D7500E" w:rsidRPr="0092014E" w:rsidRDefault="00D7500E" w:rsidP="00D7500E">
      <w:pPr>
        <w:rPr>
          <w:color w:val="auto"/>
        </w:rPr>
      </w:pPr>
      <w:r>
        <w:rPr>
          <w:rFonts w:eastAsiaTheme="minorEastAsia"/>
        </w:rPr>
        <w:lastRenderedPageBreak/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color w:val="auto"/>
        </w:rPr>
        <w:t>Das Iod wird mit Natriumthiosulfat-Lösung behandelt. Danach kann d</w:t>
      </w:r>
      <w:r w:rsidRPr="0092014E">
        <w:rPr>
          <w:color w:val="auto"/>
        </w:rPr>
        <w:t xml:space="preserve">ie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2014E">
        <w:rPr>
          <w:color w:val="auto"/>
        </w:rPr>
        <w:t>Entsorgung über Anorganische Abfälle mit Schwermetallen</w:t>
      </w:r>
      <w:r>
        <w:rPr>
          <w:color w:val="auto"/>
        </w:rPr>
        <w:t xml:space="preserve"> erfolgen</w:t>
      </w:r>
      <w:r w:rsidRPr="0092014E">
        <w:rPr>
          <w:color w:val="auto"/>
        </w:rPr>
        <w:t>.</w:t>
      </w:r>
    </w:p>
    <w:p w:rsidR="00D7500E" w:rsidRPr="00BC28B4" w:rsidRDefault="00D7500E" w:rsidP="00D7500E">
      <w:pPr>
        <w:tabs>
          <w:tab w:val="left" w:pos="1701"/>
          <w:tab w:val="left" w:pos="1985"/>
        </w:tabs>
        <w:ind w:left="1980" w:hanging="198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C28B4">
        <w:t>Literatur:</w:t>
      </w:r>
      <w:r w:rsidRPr="00BC28B4">
        <w:tab/>
      </w:r>
      <w:r w:rsidRPr="00BC28B4">
        <w:tab/>
      </w:r>
      <w:r>
        <w:t xml:space="preserve">G. </w:t>
      </w:r>
      <w:proofErr w:type="spellStart"/>
      <w:r>
        <w:t>Jander</w:t>
      </w:r>
      <w:proofErr w:type="spellEnd"/>
      <w:r>
        <w:t xml:space="preserve">, H. Wendt, Einführung in das </w:t>
      </w:r>
      <w:proofErr w:type="spellStart"/>
      <w:r>
        <w:t>anorganiach</w:t>
      </w:r>
      <w:proofErr w:type="spellEnd"/>
      <w:r>
        <w:t>-chemische Praktikum, S. Hirzel Verlag Leipzig, 5. Auflage, 1962, S. 238</w:t>
      </w:r>
    </w:p>
    <w:p w:rsidR="00571E98" w:rsidRDefault="00D7500E" w:rsidP="00D7500E">
      <w:r>
        <w:pict>
          <v:shape id="_x0000_s1044" type="#_x0000_t202" style="width:462.45pt;height:43.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4">
              <w:txbxContent>
                <w:p w:rsidR="00D7500E" w:rsidRPr="007D5F80" w:rsidRDefault="00D7500E" w:rsidP="00D7500E">
                  <w:r>
                    <w:t>Es können auch andere Oxidationsmittel verwendet werden, wobei sich Kaliumpermanganat-</w:t>
                  </w:r>
                  <w:proofErr w:type="spellStart"/>
                  <w:r>
                    <w:t>lösung</w:t>
                  </w:r>
                  <w:proofErr w:type="spellEnd"/>
                  <w:r>
                    <w:t xml:space="preserve"> auf Grund der Entfärbung besonders eignet.</w:t>
                  </w:r>
                </w:p>
              </w:txbxContent>
            </v:textbox>
            <w10:wrap type="none"/>
            <w10:anchorlock/>
          </v:shape>
        </w:pict>
      </w:r>
    </w:p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29061E"/>
    <w:rsid w:val="00532490"/>
    <w:rsid w:val="006D58AC"/>
    <w:rsid w:val="007760C4"/>
    <w:rsid w:val="007A7EC8"/>
    <w:rsid w:val="008421E2"/>
    <w:rsid w:val="00A40FB1"/>
    <w:rsid w:val="00B31E74"/>
    <w:rsid w:val="00BF3520"/>
    <w:rsid w:val="00C5025D"/>
    <w:rsid w:val="00CA3692"/>
    <w:rsid w:val="00D65115"/>
    <w:rsid w:val="00D7500E"/>
    <w:rsid w:val="00D9672C"/>
    <w:rsid w:val="00E7230F"/>
    <w:rsid w:val="00EA281B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00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500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50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500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500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50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500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500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500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500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00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500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500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5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5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5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5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5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5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7500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00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2013-08-14T08:03:00Z</dcterms:created>
  <dcterms:modified xsi:type="dcterms:W3CDTF">2013-08-14T08:03:00Z</dcterms:modified>
</cp:coreProperties>
</file>