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50" w:rsidRDefault="00C17450" w:rsidP="00C17450">
      <w:pPr>
        <w:pStyle w:val="berschrift2"/>
        <w:numPr>
          <w:ilvl w:val="0"/>
          <w:numId w:val="0"/>
        </w:numPr>
        <w:ind w:left="576" w:hanging="576"/>
      </w:pPr>
      <w:bookmarkStart w:id="0" w:name="_Toc396239817"/>
      <w:r>
        <w:t>V 1 – Bestimmung der Wasserhärte durch Leitfähigkeitsprüfung</w:t>
      </w:r>
      <w:bookmarkEnd w:id="0"/>
    </w:p>
    <w:p w:rsidR="00C17450" w:rsidRDefault="00C17450" w:rsidP="00C17450">
      <w:pPr>
        <w:tabs>
          <w:tab w:val="left" w:pos="1701"/>
          <w:tab w:val="left" w:pos="1985"/>
        </w:tabs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2.55pt;width:462.45pt;height:63.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C17450" w:rsidRPr="006A4545" w:rsidRDefault="00C17450" w:rsidP="00C1745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 diesem Versuch wird eine Titration einer Wasserprobe mit EDTA-Lösung durchgeführt. Gleichzeitig wird die Leitfähigkeit gemessen. Als Vorwissen sollte die Funktionsweise eines Leitfähigkeitsprüfers bekannt sein.</w:t>
                  </w:r>
                </w:p>
              </w:txbxContent>
            </v:textbox>
            <w10:wrap type="square"/>
          </v:shape>
        </w:pict>
      </w:r>
    </w:p>
    <w:p w:rsidR="00C17450" w:rsidRDefault="00C17450" w:rsidP="00C17450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150 ml Becherglas, 50 ml Vollpipette, Bürette mit Halterung, </w:t>
      </w:r>
      <w:proofErr w:type="spellStart"/>
      <w:r>
        <w:t>Magnetrührer</w:t>
      </w:r>
      <w:proofErr w:type="spellEnd"/>
      <w:r>
        <w:t>, Leitfähigkeitsprüfer, Spannungsquelle, Kabel, Amperemeter, Stativmaterial</w:t>
      </w:r>
    </w:p>
    <w:p w:rsidR="00C17450" w:rsidRPr="00ED07C2" w:rsidRDefault="00C17450" w:rsidP="00C17450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EDTA-Lösung (0,01 M), Wasserprobe</w:t>
      </w:r>
    </w:p>
    <w:p w:rsidR="00C17450" w:rsidRDefault="00C17450" w:rsidP="00C17450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Die EDTA-Lösung wird in die Bürette gefüllt. Mit der Vollpipette werden genau 50 ml der zu untersuchenden Wasserprobe in das Becherglas geg</w:t>
      </w:r>
      <w:r>
        <w:t>e</w:t>
      </w:r>
      <w:r>
        <w:t>ben und mit EDTA-Lösung titriert. Es empfiehlt sich in 1 ml Schritten zu ti</w:t>
      </w:r>
      <w:r>
        <w:t>t</w:t>
      </w:r>
      <w:r>
        <w:t>rieren. Gleichzeitig wird die Leitfähigkeit gemessen.</w:t>
      </w:r>
    </w:p>
    <w:p w:rsidR="00C17450" w:rsidRDefault="00C17450" w:rsidP="00C17450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Die Leitfähigkeit sollte zunächst konstant bleiben, kann aber auch, wie hier geschehen, leicht abnehmen und steigt dann an.</w:t>
      </w:r>
    </w:p>
    <w:p w:rsidR="00C17450" w:rsidRDefault="00C17450" w:rsidP="00C17450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464694" cy="3113283"/>
            <wp:effectExtent l="19050" t="0" r="2156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94" cy="311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450" w:rsidRDefault="00C17450" w:rsidP="00C17450">
      <w:pPr>
        <w:pStyle w:val="Beschriftung"/>
        <w:jc w:val="center"/>
      </w:pPr>
      <w:r>
        <w:t xml:space="preserve">Abb. </w:t>
      </w:r>
      <w:fldSimple w:instr=" SEQ Abb. \* ARABIC ">
        <w:r>
          <w:rPr>
            <w:noProof/>
          </w:rPr>
          <w:t>1</w:t>
        </w:r>
      </w:fldSimple>
      <w:r>
        <w:t xml:space="preserve"> – </w:t>
      </w:r>
      <w:r>
        <w:rPr>
          <w:noProof/>
        </w:rPr>
        <w:t>Aufbau Titration mit Leitfähigkeitsprüfer</w:t>
      </w:r>
    </w:p>
    <w:p w:rsidR="00C17450" w:rsidRDefault="00C17450" w:rsidP="00C17450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 xml:space="preserve">Die EDTA-Lösung </w:t>
      </w:r>
      <w:proofErr w:type="spellStart"/>
      <w:r>
        <w:t>komplexiert</w:t>
      </w:r>
      <w:proofErr w:type="spellEnd"/>
      <w:r>
        <w:t xml:space="preserve"> Ca</w:t>
      </w:r>
      <w:r>
        <w:rPr>
          <w:vertAlign w:val="superscript"/>
        </w:rPr>
        <w:t>2+</w:t>
      </w:r>
      <w:r>
        <w:t>- und Mg</w:t>
      </w:r>
      <w:r>
        <w:rPr>
          <w:vertAlign w:val="superscript"/>
        </w:rPr>
        <w:t>2+</w:t>
      </w:r>
      <w:r>
        <w:t>-Ionen. Da durch die Zugabe der EDTA-Lösung in der gleichen Menge Na</w:t>
      </w:r>
      <w:r>
        <w:rPr>
          <w:vertAlign w:val="superscript"/>
        </w:rPr>
        <w:t>+</w:t>
      </w:r>
      <w:r>
        <w:t xml:space="preserve">-Ionen hinzugegeben werden ändert sich die Leitfähigkeit nicht. Erst wenn alle Calcium- und </w:t>
      </w:r>
      <w:r>
        <w:lastRenderedPageBreak/>
        <w:t>Magnesiu</w:t>
      </w:r>
      <w:r>
        <w:t>m</w:t>
      </w:r>
      <w:r>
        <w:t xml:space="preserve">ionen </w:t>
      </w:r>
      <w:proofErr w:type="spellStart"/>
      <w:r>
        <w:t>komplexiert</w:t>
      </w:r>
      <w:proofErr w:type="spellEnd"/>
      <w:r>
        <w:t xml:space="preserve"> sind steigt die Leitfähigkeit an, da weiter Natriumionen zugegeben werden.</w:t>
      </w:r>
    </w:p>
    <w:p w:rsidR="00C17450" w:rsidRDefault="00C17450" w:rsidP="00C17450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Ca</m:t>
                </m:r>
              </m:e>
              <m:sup>
                <m:r>
                  <w:rPr>
                    <w:rFonts w:ascii="Cambria Math" w:hAnsi="Cambria Math"/>
                  </w:rPr>
                  <m:t>2+</m:t>
                </m:r>
              </m:sup>
            </m:sSup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EDT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2-</m:t>
                </m:r>
              </m:sup>
            </m:sSup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 xml:space="preserve"> 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[Ca(EDTA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)]</m:t>
                </m:r>
              </m:e>
              <m:sup>
                <m:r>
                  <w:rPr>
                    <w:rFonts w:ascii="Cambria Math" w:hAnsi="Cambria Math"/>
                  </w:rPr>
                  <m:t>2-</m:t>
                </m:r>
              </m:sup>
            </m:sSup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  <m:sub>
            <m:r>
              <w:rPr>
                <w:rFonts w:ascii="Cambria Math" w:hAnsi="Cambria Math"/>
              </w:rPr>
              <m:t>(g)</m:t>
            </m:r>
          </m:sub>
        </m:sSub>
      </m:oMath>
    </w:p>
    <w:p w:rsidR="00C17450" w:rsidRDefault="00C17450" w:rsidP="00C17450">
      <w:pPr>
        <w:tabs>
          <w:tab w:val="left" w:pos="1701"/>
          <w:tab w:val="left" w:pos="1985"/>
        </w:tabs>
        <w:ind w:left="1980" w:hanging="1980"/>
      </w:pPr>
      <w:r>
        <w:t>Auftragung:</w:t>
      </w:r>
    </w:p>
    <w:p w:rsidR="00C17450" w:rsidRDefault="00C17450" w:rsidP="00C17450">
      <w:pPr>
        <w:tabs>
          <w:tab w:val="left" w:pos="1701"/>
          <w:tab w:val="left" w:pos="1985"/>
        </w:tabs>
        <w:ind w:left="1980" w:hanging="1980"/>
        <w:jc w:val="center"/>
      </w:pPr>
      <w:r w:rsidRPr="00317F27">
        <w:rPr>
          <w:noProof/>
          <w:lang w:eastAsia="de-DE"/>
        </w:rPr>
        <w:drawing>
          <wp:inline distT="0" distB="0" distL="0" distR="0">
            <wp:extent cx="3895917" cy="2294627"/>
            <wp:effectExtent l="19050" t="0" r="28383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7450" w:rsidRPr="00317F27" w:rsidRDefault="00C17450" w:rsidP="00C17450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>Auswertung:</w:t>
      </w:r>
      <w:r>
        <w:tab/>
      </w:r>
      <w:r>
        <w:tab/>
      </w:r>
      <m:oMath>
        <m:r>
          <w:rPr>
            <w:rFonts w:ascii="Cambria Math" w:hAnsi="Cambria Math"/>
          </w:rPr>
          <m:t xml:space="preserve">n(EDTA)=c(EDTA)∙V(EDTA)=0,01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mol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  <m:r>
          <w:rPr>
            <w:rFonts w:ascii="Cambria Math" w:hAnsi="Cambria Math"/>
          </w:rPr>
          <m:t>∙0,05 l=0,5 mmol</m:t>
        </m:r>
      </m:oMath>
    </w:p>
    <w:p w:rsidR="00C17450" w:rsidRPr="00317F27" w:rsidRDefault="00C17450" w:rsidP="00C17450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Ca</m:t>
              </m:r>
            </m:e>
            <m:sup>
              <m:r>
                <w:rPr>
                  <w:rFonts w:ascii="Cambria Math" w:hAnsi="Cambria Math"/>
                </w:rPr>
                <m:t>2+</m:t>
              </m:r>
            </m:sup>
          </m:sSup>
          <m:r>
            <w:rPr>
              <w:rFonts w:ascii="Cambria Math" w:hAnsi="Cambria Math"/>
            </w:rPr>
            <m:t>,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Mg</m:t>
              </m:r>
            </m:e>
            <m:sup>
              <m:r>
                <w:rPr>
                  <w:rFonts w:ascii="Cambria Math" w:hAnsi="Cambria Math"/>
                </w:rPr>
                <m:t>2+</m:t>
              </m:r>
            </m:sup>
          </m:sSup>
          <m:r>
            <w:rPr>
              <w:rFonts w:ascii="Cambria Math" w:hAnsi="Cambria Math"/>
            </w:rPr>
            <m:t xml:space="preserve">)=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ges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0,5 mmol</m:t>
              </m:r>
            </m:num>
            <m:den>
              <m:r>
                <w:rPr>
                  <w:rFonts w:ascii="Cambria Math" w:hAnsi="Cambria Math"/>
                </w:rPr>
                <m:t>1 l</m:t>
              </m:r>
            </m:den>
          </m:f>
          <m:r>
            <w:rPr>
              <w:rFonts w:ascii="Cambria Math" w:hAnsi="Cambria Math"/>
            </w:rPr>
            <m:t>=0,5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mmol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</m:oMath>
      </m:oMathPara>
    </w:p>
    <w:p w:rsidR="00C17450" w:rsidRPr="00317F27" w:rsidRDefault="00C17450" w:rsidP="00C17450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→3,33 °dH →weich</m:t>
          </m:r>
        </m:oMath>
      </m:oMathPara>
    </w:p>
    <w:p w:rsidR="00C17450" w:rsidRPr="005956B2" w:rsidRDefault="00C17450" w:rsidP="00C17450">
      <w:pPr>
        <w:tabs>
          <w:tab w:val="left" w:pos="1701"/>
          <w:tab w:val="left" w:pos="1985"/>
        </w:tabs>
        <w:ind w:left="1980" w:hanging="1980"/>
      </w:pPr>
    </w:p>
    <w:p w:rsidR="00C17450" w:rsidRDefault="00C17450" w:rsidP="00C17450">
      <w:pPr>
        <w:spacing w:line="276" w:lineRule="auto"/>
        <w:ind w:left="1980" w:hanging="1980"/>
        <w:jc w:val="left"/>
        <w:rPr>
          <w:color w:val="auto"/>
        </w:rPr>
      </w:pPr>
      <w:r>
        <w:t>Literatur:</w:t>
      </w:r>
      <w:r>
        <w:tab/>
        <w:t xml:space="preserve">[1] </w:t>
      </w:r>
      <w:r>
        <w:rPr>
          <w:color w:val="auto"/>
        </w:rPr>
        <w:t xml:space="preserve">R. Herbst-Irmer, B. </w:t>
      </w:r>
      <w:proofErr w:type="spellStart"/>
      <w:r>
        <w:rPr>
          <w:color w:val="auto"/>
        </w:rPr>
        <w:t>Niepötter</w:t>
      </w:r>
      <w:proofErr w:type="spellEnd"/>
      <w:r>
        <w:rPr>
          <w:color w:val="auto"/>
        </w:rPr>
        <w:t>, Skript zum Anorganisch-Chemischen F-Praktikum für Lehramtskandidaten, Universität Göttingen, 2014, S. 98.</w:t>
      </w:r>
    </w:p>
    <w:p w:rsidR="00C17450" w:rsidRPr="00F05DC6" w:rsidRDefault="00C17450" w:rsidP="00C17450">
      <w:pPr>
        <w:spacing w:line="276" w:lineRule="auto"/>
        <w:ind w:left="1985"/>
        <w:jc w:val="left"/>
        <w:rPr>
          <w:color w:val="auto"/>
        </w:rPr>
      </w:pPr>
      <w:r>
        <w:rPr>
          <w:color w:val="auto"/>
        </w:rPr>
        <w:t xml:space="preserve">[2] Stadtwerke Göttingen </w:t>
      </w:r>
      <w:r w:rsidRPr="00B05302">
        <w:rPr>
          <w:color w:val="auto"/>
        </w:rPr>
        <w:t>http://www.stadtwerke-goettingen.de/</w:t>
      </w:r>
      <w:r>
        <w:rPr>
          <w:color w:val="auto"/>
        </w:rPr>
        <w:t xml:space="preserve"> </w:t>
      </w:r>
      <w:proofErr w:type="spellStart"/>
      <w:r w:rsidRPr="00322EFA">
        <w:rPr>
          <w:color w:val="auto"/>
        </w:rPr>
        <w:t>geschaeftsfelder</w:t>
      </w:r>
      <w:proofErr w:type="spellEnd"/>
      <w:r w:rsidRPr="00322EFA">
        <w:rPr>
          <w:color w:val="auto"/>
        </w:rPr>
        <w:t>/</w:t>
      </w:r>
      <w:r>
        <w:rPr>
          <w:color w:val="auto"/>
        </w:rPr>
        <w:t xml:space="preserve"> </w:t>
      </w:r>
      <w:r w:rsidRPr="00322EFA">
        <w:rPr>
          <w:color w:val="auto"/>
        </w:rPr>
        <w:t>wasser/</w:t>
      </w:r>
      <w:r>
        <w:rPr>
          <w:color w:val="auto"/>
        </w:rPr>
        <w:t xml:space="preserve"> </w:t>
      </w:r>
      <w:proofErr w:type="spellStart"/>
      <w:r w:rsidRPr="00322EFA">
        <w:rPr>
          <w:color w:val="auto"/>
        </w:rPr>
        <w:t>wasseranalyse</w:t>
      </w:r>
      <w:proofErr w:type="spellEnd"/>
      <w:r w:rsidRPr="00322EFA">
        <w:rPr>
          <w:color w:val="auto"/>
        </w:rPr>
        <w:t>/</w:t>
      </w:r>
      <w:r>
        <w:rPr>
          <w:color w:val="auto"/>
        </w:rPr>
        <w:t xml:space="preserve"> Stand August 2013 (Zuletzt abg</w:t>
      </w:r>
      <w:r>
        <w:rPr>
          <w:color w:val="auto"/>
        </w:rPr>
        <w:t>e</w:t>
      </w:r>
      <w:r>
        <w:rPr>
          <w:color w:val="auto"/>
        </w:rPr>
        <w:t>rufen am 15.08.2014 um 13:11 Uhr).</w:t>
      </w:r>
    </w:p>
    <w:p w:rsidR="00C17450" w:rsidRDefault="00C17450" w:rsidP="00C17450">
      <w:pPr>
        <w:tabs>
          <w:tab w:val="left" w:pos="1701"/>
          <w:tab w:val="left" w:pos="1985"/>
        </w:tabs>
        <w:ind w:left="1980" w:hanging="1980"/>
      </w:pPr>
    </w:p>
    <w:p w:rsidR="00C17450" w:rsidRDefault="00C17450" w:rsidP="00C17450">
      <w:pPr>
        <w:tabs>
          <w:tab w:val="left" w:pos="1701"/>
          <w:tab w:val="left" w:pos="1985"/>
        </w:tabs>
        <w:ind w:left="1980" w:hanging="1980"/>
      </w:pPr>
      <w:r>
        <w:pict>
          <v:shape id="_x0000_s1026" type="#_x0000_t202" style="width:462.45pt;height:169.3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C17450" w:rsidRDefault="00C17450" w:rsidP="00C1745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Der Versuch kann auch von den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durchgeführt werden, da nur mit ungefährlichen Stoffen gearbeitet wird. Allerdings werden in der Schule wahrscheinlich keine Leitfähigkeitsprüfer in ausreichender Zahl vorhanden sein, weshalb dieser Versuch alternativ von einem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für alle anderen demonstriert werden kann oder aber auch in Kleingruppen durchgeführt werden kann.</w:t>
                  </w:r>
                </w:p>
                <w:p w:rsidR="00C17450" w:rsidRPr="005956B2" w:rsidRDefault="00C17450" w:rsidP="00C1745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Wenn das Wasser zu wenig Carbonat enthält funktioniert dieser Versuch nicht, da das Carb</w:t>
                  </w:r>
                  <w:r>
                    <w:rPr>
                      <w:color w:val="auto"/>
                    </w:rPr>
                    <w:t>o</w:t>
                  </w:r>
                  <w:r>
                    <w:rPr>
                      <w:color w:val="auto"/>
                    </w:rPr>
                    <w:t>nat als Puffer für die Säure-Base-Reaktion dient. Die Leitfähigkeit würde hierbei sehr stark ansteigen.</w:t>
                  </w:r>
                </w:p>
              </w:txbxContent>
            </v:textbox>
            <w10:wrap type="none"/>
            <w10:anchorlock/>
          </v:shape>
        </w:pict>
      </w:r>
    </w:p>
    <w:p w:rsidR="00C17450" w:rsidRPr="0073125E" w:rsidRDefault="00C17450" w:rsidP="00C17450">
      <w:pPr>
        <w:tabs>
          <w:tab w:val="left" w:pos="1701"/>
          <w:tab w:val="left" w:pos="1985"/>
        </w:tabs>
        <w:ind w:left="1980" w:hanging="1980"/>
      </w:pPr>
    </w:p>
    <w:p w:rsidR="00F63CF6" w:rsidRDefault="00F63CF6"/>
    <w:sectPr w:rsidR="00F63CF6" w:rsidSect="00F63C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7450"/>
    <w:rsid w:val="00501AC5"/>
    <w:rsid w:val="00C17450"/>
    <w:rsid w:val="00F6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450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7450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745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17450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1745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1745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1745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1745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1745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1745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7450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7450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7450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174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174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174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17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174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174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17450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7450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e%20und%20Einstellungen\Praxis%20Dr.Kellner\Eigene%20Dateien\SVP\Wasser\Leitf&#228;higkeitWasserh&#228;rt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tx>
        <c:rich>
          <a:bodyPr/>
          <a:lstStyle/>
          <a:p>
            <a:pPr>
              <a:defRPr/>
            </a:pPr>
            <a:r>
              <a:rPr lang="en-US"/>
              <a:t>Leitfähigkeit Leitungswasser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Tabelle1!$B$1</c:f>
              <c:strCache>
                <c:ptCount val="1"/>
                <c:pt idx="0">
                  <c:v>mA</c:v>
                </c:pt>
              </c:strCache>
            </c:strRef>
          </c:tx>
          <c:spPr>
            <a:ln w="28575">
              <a:noFill/>
            </a:ln>
          </c:spPr>
          <c:xVal>
            <c:numRef>
              <c:f>Tabelle1!$A$2:$A$14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Tabelle1!$B$2:$B$14</c:f>
              <c:numCache>
                <c:formatCode>General</c:formatCode>
                <c:ptCount val="13"/>
                <c:pt idx="0">
                  <c:v>1.950000000000002</c:v>
                </c:pt>
                <c:pt idx="1">
                  <c:v>1.9000000000000001</c:v>
                </c:pt>
                <c:pt idx="2">
                  <c:v>1.83</c:v>
                </c:pt>
                <c:pt idx="3">
                  <c:v>1.780000000000002</c:v>
                </c:pt>
                <c:pt idx="4">
                  <c:v>1.7400000000000013</c:v>
                </c:pt>
                <c:pt idx="5">
                  <c:v>1.7500000000000013</c:v>
                </c:pt>
                <c:pt idx="6">
                  <c:v>1.85</c:v>
                </c:pt>
                <c:pt idx="7">
                  <c:v>1.9900000000000022</c:v>
                </c:pt>
                <c:pt idx="8">
                  <c:v>2.12</c:v>
                </c:pt>
                <c:pt idx="9">
                  <c:v>2.27</c:v>
                </c:pt>
                <c:pt idx="10">
                  <c:v>2.4099999999999997</c:v>
                </c:pt>
                <c:pt idx="11">
                  <c:v>2.5099999999999998</c:v>
                </c:pt>
                <c:pt idx="12">
                  <c:v>2.67</c:v>
                </c:pt>
              </c:numCache>
            </c:numRef>
          </c:yVal>
        </c:ser>
        <c:axId val="119600640"/>
        <c:axId val="119967104"/>
      </c:scatterChart>
      <c:valAx>
        <c:axId val="119600640"/>
        <c:scaling>
          <c:orientation val="minMax"/>
          <c:max val="1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Volume [ml]</a:t>
                </a:r>
              </a:p>
            </c:rich>
          </c:tx>
        </c:title>
        <c:numFmt formatCode="General" sourceLinked="1"/>
        <c:tickLblPos val="nextTo"/>
        <c:crossAx val="119967104"/>
        <c:crosses val="autoZero"/>
        <c:crossBetween val="midCat"/>
      </c:valAx>
      <c:valAx>
        <c:axId val="119967104"/>
        <c:scaling>
          <c:orientation val="minMax"/>
          <c:max val="2.7"/>
          <c:min val="1.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de-DE"/>
                  <a:t>Stromstärke</a:t>
                </a:r>
                <a:r>
                  <a:rPr lang="de-DE" baseline="0"/>
                  <a:t> [mA]</a:t>
                </a:r>
                <a:endParaRPr lang="de-DE"/>
              </a:p>
            </c:rich>
          </c:tx>
        </c:title>
        <c:numFmt formatCode="General" sourceLinked="1"/>
        <c:tickLblPos val="nextTo"/>
        <c:crossAx val="119600640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 Dr.Kellner</dc:creator>
  <cp:keywords/>
  <dc:description/>
  <cp:lastModifiedBy>Praxis Dr.Kellner</cp:lastModifiedBy>
  <cp:revision>1</cp:revision>
  <dcterms:created xsi:type="dcterms:W3CDTF">2014-08-27T16:38:00Z</dcterms:created>
  <dcterms:modified xsi:type="dcterms:W3CDTF">2014-08-27T16:39:00Z</dcterms:modified>
</cp:coreProperties>
</file>