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DB" w:rsidRDefault="00E91EDB" w:rsidP="00E91EDB">
      <w:pPr>
        <w:pStyle w:val="berschrift2"/>
        <w:numPr>
          <w:ilvl w:val="0"/>
          <w:numId w:val="0"/>
        </w:numPr>
        <w:ind w:left="576" w:hanging="576"/>
      </w:pPr>
      <w:bookmarkStart w:id="0" w:name="_Toc396239819"/>
      <w:r>
        <w:t>V 2 – Kalkrückstände durch Verdampfen</w:t>
      </w:r>
      <w:bookmarkEnd w:id="0"/>
    </w:p>
    <w:p w:rsidR="00E91EDB" w:rsidRDefault="00E91EDB" w:rsidP="00E91EDB">
      <w:pPr>
        <w:tabs>
          <w:tab w:val="left" w:pos="1701"/>
          <w:tab w:val="left" w:pos="1985"/>
        </w:tabs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1.2pt;width:462.45pt;height:78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91EDB" w:rsidRPr="007E2BD0" w:rsidRDefault="00E91EDB" w:rsidP="00E91ED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werden verschiedene Wasserproben über dem Wasserbad verdampft. Für die Durchführung des Versuches wird kein Vorwissen benötigt, für die Auswertung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wissen, dass im Wasser gelöste Ionen vorliegen. Hierbei sollten sie Magnesium- und </w:t>
                  </w:r>
                  <w:proofErr w:type="spellStart"/>
                  <w:r>
                    <w:rPr>
                      <w:color w:val="auto"/>
                    </w:rPr>
                    <w:t>Ca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ciumionen</w:t>
                  </w:r>
                  <w:proofErr w:type="spellEnd"/>
                  <w:r>
                    <w:rPr>
                      <w:color w:val="auto"/>
                    </w:rPr>
                    <w:t xml:space="preserve"> als am häufigsten auftretend kennen.</w:t>
                  </w:r>
                </w:p>
              </w:txbxContent>
            </v:textbox>
            <w10:wrap type="square"/>
          </v:shape>
        </w:pict>
      </w:r>
    </w:p>
    <w:p w:rsidR="00E91EDB" w:rsidRDefault="00E91EDB" w:rsidP="00E91ED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Uhrgläser, Wasserbad, Tiegelzange, Bunsenbrenner, Dreifuß, Drahtnetz</w:t>
      </w:r>
    </w:p>
    <w:p w:rsidR="00E91EDB" w:rsidRPr="00ED07C2" w:rsidRDefault="00E91EDB" w:rsidP="00E91ED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Wasserproben (z.B. Leitungswasser, Regenwasser, Mineralwasser)</w:t>
      </w:r>
    </w:p>
    <w:p w:rsidR="00E91EDB" w:rsidRDefault="00E91EDB" w:rsidP="00E91ED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Von den Wasserproben werden gleiche Mengen (1-2 ml) auf je ein Uhrglas gegeben und über dem Wasserbad verdampft. </w:t>
      </w:r>
    </w:p>
    <w:p w:rsidR="00E91EDB" w:rsidRDefault="00E91EDB" w:rsidP="00E91ED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Demineralisiertes Wasser zeigt keine Rückstände, bei Leitungswasser und </w:t>
      </w:r>
      <w:proofErr w:type="spellStart"/>
      <w:r>
        <w:t>Vilsa</w:t>
      </w:r>
      <w:proofErr w:type="spellEnd"/>
      <w:r>
        <w:t xml:space="preserve"> Naturelle sind kaum Rückstände zu erkennen. Das Regenwasser zeigt deutliche Rückstände</w:t>
      </w:r>
    </w:p>
    <w:p w:rsidR="00E91EDB" w:rsidRDefault="00E91EDB" w:rsidP="00E91ED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997120" cy="2247840"/>
            <wp:effectExtent l="19050" t="0" r="0" b="0"/>
            <wp:docPr id="6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20" cy="22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DB" w:rsidRDefault="00E91EDB" w:rsidP="00E91EDB">
      <w:pPr>
        <w:pStyle w:val="Beschriftung"/>
        <w:jc w:val="center"/>
      </w:pPr>
      <w:r>
        <w:t xml:space="preserve">Abb. 2 - </w:t>
      </w:r>
      <w:r>
        <w:rPr>
          <w:noProof/>
        </w:rPr>
        <w:t>Kalkränder verschiedener Wasserproben.</w:t>
      </w:r>
    </w:p>
    <w:p w:rsidR="00E91EDB" w:rsidRDefault="00E91EDB" w:rsidP="00E91ED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Die im Wasser gelösten Salze bleiben als weiße Kruste zurück. Im demin</w:t>
      </w:r>
      <w:r>
        <w:t>e</w:t>
      </w:r>
      <w:r>
        <w:t>ralisierten Wasser sind keine Salze mehr enthalten, im Leitungs- und Trinkwasser nur wenige und im Regenwasser verhältnismäßig viele.</w:t>
      </w:r>
    </w:p>
    <w:p w:rsidR="00E91EDB" w:rsidRPr="007E2BD0" w:rsidRDefault="00E91EDB" w:rsidP="00E91EDB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t>Literatur:</w:t>
      </w:r>
      <w:r>
        <w:tab/>
        <w:t xml:space="preserve">           [3] </w:t>
      </w:r>
      <w:r>
        <w:rPr>
          <w:color w:val="auto"/>
        </w:rPr>
        <w:t>H. Stapf, Chemische Schulversuche Teil 2, BDL, 3. Auflage, 1968, S.67.</w:t>
      </w:r>
    </w:p>
    <w:p w:rsidR="00E91EDB" w:rsidRDefault="00E91EDB" w:rsidP="00E91EDB">
      <w:pPr>
        <w:tabs>
          <w:tab w:val="left" w:pos="1701"/>
          <w:tab w:val="left" w:pos="1985"/>
        </w:tabs>
        <w:ind w:left="1980" w:hanging="1980"/>
      </w:pPr>
    </w:p>
    <w:p w:rsidR="00F63CF6" w:rsidRDefault="00E91EDB" w:rsidP="00E91EDB">
      <w:r w:rsidRPr="00BC3B1B">
        <w:pict>
          <v:shape id="_x0000_s1026" type="#_x0000_t202" style="width:462.45pt;height:65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E91EDB" w:rsidRPr="00A755DF" w:rsidRDefault="00E91EDB" w:rsidP="00E91ED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Im Anschluss können die Uhrgläser zum Thema Kalkentfernung weiter genutzt werden, indem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versuchen, den Kalk mit verschiedenen Mittel zu lösen, wie beispielsweise Wasser oder Zitronensäure.</w:t>
                  </w:r>
                </w:p>
              </w:txbxContent>
            </v:textbox>
            <w10:wrap type="none"/>
            <w10:anchorlock/>
          </v:shape>
        </w:pict>
      </w:r>
    </w:p>
    <w:sectPr w:rsidR="00F63CF6" w:rsidSect="00F63C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1EDB"/>
    <w:rsid w:val="00C0487F"/>
    <w:rsid w:val="00E91EDB"/>
    <w:rsid w:val="00F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1ED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D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ED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1ED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1E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1E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1E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1E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1E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1E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1ED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ED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1ED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1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1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1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1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1E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1E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91ED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ED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2014-08-27T16:39:00Z</dcterms:created>
  <dcterms:modified xsi:type="dcterms:W3CDTF">2014-08-27T16:39:00Z</dcterms:modified>
</cp:coreProperties>
</file>