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1E" w:rsidRDefault="0012181E" w:rsidP="0012181E">
      <w:pPr>
        <w:pStyle w:val="berschrift2"/>
        <w:numPr>
          <w:ilvl w:val="0"/>
          <w:numId w:val="0"/>
        </w:numPr>
        <w:ind w:left="576" w:hanging="576"/>
      </w:pPr>
      <w:bookmarkStart w:id="0" w:name="_Toc396239820"/>
      <w:r>
        <w:t xml:space="preserve">V 3 – Nachweis von </w:t>
      </w:r>
      <w:proofErr w:type="spellStart"/>
      <w:r>
        <w:t>Calciumionen</w:t>
      </w:r>
      <w:proofErr w:type="spellEnd"/>
      <w:r>
        <w:t xml:space="preserve"> mit Oxalat</w:t>
      </w:r>
      <w:bookmarkEnd w:id="0"/>
    </w:p>
    <w:p w:rsidR="0012181E" w:rsidRDefault="0012181E" w:rsidP="0012181E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3.9pt;width:462.45pt;height:43.8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12181E" w:rsidRPr="003D3E1A" w:rsidRDefault="0012181E" w:rsidP="0012181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In diesem Versuch sollen Calcium-Ionen mit Oxalat-Ionen ausgefällt werden. Für diesen Ve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 xml:space="preserve">such sollten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Fällungsreaktionen als Nachweis kennen.</w:t>
                  </w: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2181E" w:rsidRPr="009C5E28" w:rsidTr="002B1FAC">
        <w:tc>
          <w:tcPr>
            <w:tcW w:w="9322" w:type="dxa"/>
            <w:gridSpan w:val="9"/>
            <w:shd w:val="clear" w:color="auto" w:fill="4F81BD"/>
            <w:vAlign w:val="center"/>
          </w:tcPr>
          <w:p w:rsidR="0012181E" w:rsidRPr="009C5E28" w:rsidRDefault="0012181E" w:rsidP="002B1FAC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12181E" w:rsidRPr="009C5E28" w:rsidTr="002B1FA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181E" w:rsidRPr="009C5E28" w:rsidRDefault="0012181E" w:rsidP="002B1FAC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Ammoniumoxalat-</w:t>
            </w:r>
            <w:proofErr w:type="spellStart"/>
            <w:r>
              <w:rPr>
                <w:sz w:val="20"/>
              </w:rPr>
              <w:t>monohydrat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181E" w:rsidRPr="009C5E28" w:rsidRDefault="0012181E" w:rsidP="002B1FA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hyperlink r:id="rId5" w:anchor="H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302</w:t>
              </w:r>
            </w:hyperlink>
            <w:r w:rsidRPr="009C5E28">
              <w:rPr>
                <w:sz w:val="20"/>
              </w:rPr>
              <w:t>-</w:t>
            </w:r>
            <w:hyperlink r:id="rId6" w:anchor="H-S.C3.A4tze" w:tooltip="H- und P-Sätze" w:history="1">
              <w:r>
                <w:rPr>
                  <w:rStyle w:val="Hyperlink"/>
                  <w:color w:val="auto"/>
                  <w:sz w:val="20"/>
                </w:rPr>
                <w:t>312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181E" w:rsidRPr="009C5E28" w:rsidRDefault="0012181E" w:rsidP="002B1FA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hyperlink r:id="rId7" w:anchor="P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280</w:t>
              </w:r>
            </w:hyperlink>
          </w:p>
        </w:tc>
      </w:tr>
      <w:tr w:rsidR="0012181E" w:rsidRPr="009C5E28" w:rsidTr="002B1FA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181E" w:rsidRPr="009C5E28" w:rsidRDefault="0012181E" w:rsidP="002B1F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181E" w:rsidRPr="009C5E28" w:rsidRDefault="0012181E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181E" w:rsidRPr="009C5E28" w:rsidRDefault="0012181E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4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181E" w:rsidRPr="009C5E28" w:rsidRDefault="0012181E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181E" w:rsidRPr="009C5E28" w:rsidRDefault="0012181E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181E" w:rsidRPr="009C5E28" w:rsidRDefault="0012181E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181E" w:rsidRPr="009C5E28" w:rsidRDefault="0012181E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181E" w:rsidRPr="009C5E28" w:rsidRDefault="0012181E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3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181E" w:rsidRPr="009C5E28" w:rsidRDefault="0012181E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81E" w:rsidRDefault="0012181E" w:rsidP="0012181E">
      <w:pPr>
        <w:tabs>
          <w:tab w:val="left" w:pos="1701"/>
          <w:tab w:val="left" w:pos="1985"/>
        </w:tabs>
        <w:ind w:left="1980" w:hanging="1980"/>
      </w:pPr>
    </w:p>
    <w:p w:rsidR="0012181E" w:rsidRDefault="0012181E" w:rsidP="0012181E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Reagenzgläser, Tropfpipette</w:t>
      </w:r>
    </w:p>
    <w:p w:rsidR="0012181E" w:rsidRPr="00ED07C2" w:rsidRDefault="0012181E" w:rsidP="0012181E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Ammoniumoxalat-</w:t>
      </w:r>
      <w:proofErr w:type="spellStart"/>
      <w:r>
        <w:t>monohydrat</w:t>
      </w:r>
      <w:proofErr w:type="spellEnd"/>
      <w:r>
        <w:t>, Wasserproben</w:t>
      </w:r>
    </w:p>
    <w:p w:rsidR="0012181E" w:rsidRDefault="0012181E" w:rsidP="0012181E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Zunächst wird eine </w:t>
      </w:r>
      <w:proofErr w:type="spellStart"/>
      <w:r>
        <w:t>Oxalatlösung</w:t>
      </w:r>
      <w:proofErr w:type="spellEnd"/>
      <w:r>
        <w:t xml:space="preserve"> hergestellt, indem eine </w:t>
      </w:r>
      <w:proofErr w:type="spellStart"/>
      <w:r>
        <w:t>Spatelspitze</w:t>
      </w:r>
      <w:proofErr w:type="spellEnd"/>
      <w:r>
        <w:t xml:space="preserve"> A</w:t>
      </w:r>
      <w:r>
        <w:t>m</w:t>
      </w:r>
      <w:r>
        <w:t xml:space="preserve">moniumoxalat in einem zur Hälfte mit demineralisiertem Wasser gefüllten Reagenzglas gelöst wird. Dann wird ein weiteres Reagenzglas zur Hälfte mit der zu untersuchenden Wasserprobe </w:t>
      </w:r>
      <w:proofErr w:type="spellStart"/>
      <w:r>
        <w:t>befüllt</w:t>
      </w:r>
      <w:proofErr w:type="spellEnd"/>
      <w:r>
        <w:t xml:space="preserve">. Nun wird solange </w:t>
      </w:r>
      <w:proofErr w:type="spellStart"/>
      <w:r>
        <w:t>Oxala</w:t>
      </w:r>
      <w:r>
        <w:t>t</w:t>
      </w:r>
      <w:r>
        <w:t>lösung</w:t>
      </w:r>
      <w:proofErr w:type="spellEnd"/>
      <w:r>
        <w:t xml:space="preserve"> dazu getropft, bis kein Niederschlag mehr entsteht bzw. sich die Trübung nicht mehr verstärkt.</w:t>
      </w:r>
    </w:p>
    <w:p w:rsidR="0012181E" w:rsidRDefault="0012181E" w:rsidP="0012181E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Das demineralisierte Wasser trübt sich nicht, die Proben mit </w:t>
      </w:r>
      <w:proofErr w:type="spellStart"/>
      <w:r>
        <w:t>Vilsa</w:t>
      </w:r>
      <w:proofErr w:type="spellEnd"/>
      <w:r>
        <w:t xml:space="preserve"> Nature</w:t>
      </w:r>
      <w:r>
        <w:t>l</w:t>
      </w:r>
      <w:r>
        <w:t>le, Leitungs- und Regenwasser trüben sich.</w:t>
      </w:r>
    </w:p>
    <w:p w:rsidR="0012181E" w:rsidRDefault="0012181E" w:rsidP="0012181E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174474" cy="2096219"/>
            <wp:effectExtent l="19050" t="0" r="0" b="0"/>
            <wp:docPr id="3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63" cy="209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81E" w:rsidRDefault="0012181E" w:rsidP="0012181E">
      <w:pPr>
        <w:pStyle w:val="Beschriftung"/>
        <w:jc w:val="center"/>
      </w:pPr>
      <w:r>
        <w:t xml:space="preserve">Abb. 3 – von </w:t>
      </w:r>
      <w:r>
        <w:rPr>
          <w:noProof/>
        </w:rPr>
        <w:t>links nach rechts: deminieralisiertes Wasser, Vilsa Naturelle, Leitungswasser, Regenwasser.</w:t>
      </w:r>
    </w:p>
    <w:p w:rsidR="0012181E" w:rsidRDefault="0012181E" w:rsidP="0012181E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Calcium- und Magnesium-Ionen fallen als Calcium- bzw. Magnesiumoxalat aus.</w:t>
      </w:r>
    </w:p>
    <w:p w:rsidR="0012181E" w:rsidRDefault="0012181E" w:rsidP="0012181E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Ca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(OOC-COO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2-</m:t>
                  </m:r>
                </m:sup>
              </m:sSup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</m:sub>
          </m:sSub>
          <m:r>
            <w:rPr>
              <w:rFonts w:ascii="Cambria Math" w:hAnsi="Cambria Math"/>
            </w:rPr>
            <m:t xml:space="preserve"> 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(COO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Ca</m:t>
              </m:r>
            </m:e>
            <m:sub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sub>
          </m:sSub>
        </m:oMath>
      </m:oMathPara>
    </w:p>
    <w:p w:rsidR="0012181E" w:rsidRPr="00421951" w:rsidRDefault="0012181E" w:rsidP="0012181E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Mg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(OOC-COO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2-</m:t>
                  </m:r>
                </m:sup>
              </m:sSup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aq</m:t>
                  </m:r>
                </m:e>
              </m:d>
            </m:sub>
          </m:sSub>
          <m:r>
            <w:rPr>
              <w:rFonts w:ascii="Cambria Math" w:hAnsi="Cambria Math"/>
            </w:rPr>
            <m:t xml:space="preserve"> 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(COO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Mg</m:t>
              </m:r>
            </m:e>
            <m:sub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sub>
          </m:sSub>
        </m:oMath>
      </m:oMathPara>
    </w:p>
    <w:p w:rsidR="0012181E" w:rsidRPr="00421951" w:rsidRDefault="0012181E" w:rsidP="0012181E">
      <w:pPr>
        <w:tabs>
          <w:tab w:val="left" w:pos="1701"/>
          <w:tab w:val="left" w:pos="1985"/>
        </w:tabs>
        <w:ind w:left="1980" w:hanging="1980"/>
        <w:rPr>
          <w:rFonts w:eastAsiaTheme="minorEastAsia"/>
          <w:b/>
          <w:bCs/>
          <w:sz w:val="28"/>
          <w:szCs w:val="28"/>
        </w:rPr>
      </w:pPr>
      <w:r>
        <w:t>Literatur:</w:t>
      </w:r>
      <w:r>
        <w:tab/>
      </w:r>
      <w:r>
        <w:tab/>
        <w:t xml:space="preserve">[4] H. Schmidkunz, Chemische Freihandversuche Band 1, </w:t>
      </w:r>
      <w:proofErr w:type="spellStart"/>
      <w:r>
        <w:t>Aulis</w:t>
      </w:r>
      <w:proofErr w:type="spellEnd"/>
      <w:r>
        <w:t>, 2011, S 501.</w:t>
      </w:r>
    </w:p>
    <w:p w:rsidR="0012181E" w:rsidRPr="006E32AF" w:rsidRDefault="0012181E" w:rsidP="0012181E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BC3B1B">
        <w:pict>
          <v:shape id="_x0000_s1026" type="#_x0000_t202" style="width:462.45pt;height:98.3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12181E" w:rsidRPr="003D1719" w:rsidRDefault="0012181E" w:rsidP="0012181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In diesem Versuch werden Calcium-Ionen und Magnesium-Ionen zusammen ausgefällt, we</w:t>
                  </w:r>
                  <w:r>
                    <w:rPr>
                      <w:color w:val="auto"/>
                    </w:rPr>
                    <w:t>s</w:t>
                  </w:r>
                  <w:r>
                    <w:rPr>
                      <w:color w:val="auto"/>
                    </w:rPr>
                    <w:t xml:space="preserve">halb bei einer positiven Probe nicht automatisch auf einen hohen </w:t>
                  </w:r>
                  <w:proofErr w:type="spellStart"/>
                  <w:r>
                    <w:rPr>
                      <w:color w:val="auto"/>
                    </w:rPr>
                    <w:t>Calciumgehalt</w:t>
                  </w:r>
                  <w:proofErr w:type="spellEnd"/>
                  <w:r>
                    <w:rPr>
                      <w:color w:val="auto"/>
                    </w:rPr>
                    <w:t xml:space="preserve"> geschlossen werden kann. V4 „Bestimmung des </w:t>
                  </w:r>
                  <w:proofErr w:type="spellStart"/>
                  <w:r>
                    <w:rPr>
                      <w:color w:val="auto"/>
                    </w:rPr>
                    <w:t>Calciumgehalts</w:t>
                  </w:r>
                  <w:proofErr w:type="spellEnd"/>
                  <w:r>
                    <w:rPr>
                      <w:color w:val="auto"/>
                    </w:rPr>
                    <w:t xml:space="preserve"> mit Testkasten von Aquamerck“ kann im Anschluss an diesen Versuch durchgeführt werden, um den </w:t>
                  </w:r>
                  <w:proofErr w:type="spellStart"/>
                  <w:r>
                    <w:rPr>
                      <w:color w:val="auto"/>
                    </w:rPr>
                    <w:t>Calciumgehalt</w:t>
                  </w:r>
                  <w:proofErr w:type="spellEnd"/>
                  <w:r>
                    <w:rPr>
                      <w:color w:val="auto"/>
                    </w:rPr>
                    <w:t xml:space="preserve"> genauer zu besti</w:t>
                  </w:r>
                  <w:r>
                    <w:rPr>
                      <w:color w:val="auto"/>
                    </w:rPr>
                    <w:t>m</w:t>
                  </w:r>
                  <w:r>
                    <w:rPr>
                      <w:color w:val="auto"/>
                    </w:rPr>
                    <w:t>men.</w:t>
                  </w:r>
                </w:p>
              </w:txbxContent>
            </v:textbox>
            <w10:wrap type="none"/>
            <w10:anchorlock/>
          </v:shape>
        </w:pict>
      </w:r>
    </w:p>
    <w:p w:rsidR="0012181E" w:rsidRDefault="0012181E" w:rsidP="0012181E">
      <w:pPr>
        <w:tabs>
          <w:tab w:val="left" w:pos="1701"/>
          <w:tab w:val="left" w:pos="1985"/>
        </w:tabs>
        <w:ind w:left="1980" w:hanging="1980"/>
        <w:rPr>
          <w:color w:val="1F497D" w:themeColor="text2"/>
        </w:rPr>
      </w:pPr>
    </w:p>
    <w:p w:rsidR="00F63CF6" w:rsidRDefault="00F63CF6"/>
    <w:sectPr w:rsidR="00F63CF6" w:rsidSect="00F63C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181E"/>
    <w:rsid w:val="0012181E"/>
    <w:rsid w:val="0070498E"/>
    <w:rsid w:val="00F6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181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181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181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2181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181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181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181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181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181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181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181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181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181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18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18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18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18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18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18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2181E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2181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81E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 Dr.Kellner</dc:creator>
  <cp:keywords/>
  <dc:description/>
  <cp:lastModifiedBy>Praxis Dr.Kellner</cp:lastModifiedBy>
  <cp:revision>1</cp:revision>
  <dcterms:created xsi:type="dcterms:W3CDTF">2014-08-27T16:40:00Z</dcterms:created>
  <dcterms:modified xsi:type="dcterms:W3CDTF">2014-08-27T16:40:00Z</dcterms:modified>
</cp:coreProperties>
</file>