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82" w:rsidRPr="00F274F1" w:rsidRDefault="002F3182" w:rsidP="002F3182">
      <w:pPr>
        <w:pStyle w:val="berschrift2"/>
        <w:numPr>
          <w:ilvl w:val="0"/>
          <w:numId w:val="0"/>
        </w:numPr>
        <w:ind w:left="576" w:hanging="576"/>
      </w:pPr>
      <w:bookmarkStart w:id="0" w:name="_Toc333850340"/>
      <w:bookmarkStart w:id="1" w:name="_Toc396823106"/>
      <w:bookmarkStart w:id="2" w:name="_GoBack"/>
      <w:bookmarkEnd w:id="2"/>
      <w:r>
        <w:t>V 2</w:t>
      </w:r>
      <w:r w:rsidRPr="00F274F1">
        <w:t xml:space="preserve"> – </w:t>
      </w:r>
      <w:bookmarkEnd w:id="0"/>
      <w:r>
        <w:t>Nachweis von Hydroxidionen in Laugen</w:t>
      </w:r>
      <w:bookmarkEnd w:id="1"/>
    </w:p>
    <w:p w:rsidR="002F3182" w:rsidRPr="00F274F1" w:rsidRDefault="002F3182" w:rsidP="002F318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07E16" wp14:editId="7261D13B">
                <wp:simplePos x="0" y="0"/>
                <wp:positionH relativeFrom="column">
                  <wp:posOffset>-635</wp:posOffset>
                </wp:positionH>
                <wp:positionV relativeFrom="paragraph">
                  <wp:posOffset>309245</wp:posOffset>
                </wp:positionV>
                <wp:extent cx="5873115" cy="1460500"/>
                <wp:effectExtent l="0" t="0" r="13335" b="25400"/>
                <wp:wrapSquare wrapText="bothSides"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4605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3182" w:rsidRPr="00DB0E4E" w:rsidRDefault="002F3182" w:rsidP="002F3182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In diesem Versuch werden verschiedene lösliche Hydroxide wie z.B. Natriumhydroxid und Bariumhydroxid in Wasser gelöst und mit einem Indikatorpapier oder einer Indikatorlösung (z.B.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Thymolblau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) auf den pH-Wert untersucht. Das gleiche wird in Teil b) mit Ammoniakwasser durchgeführt. Die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kennen bereits die Arrhenius-Theorie und den Nutzen von Indikatorpapier/Lösung, sowie den Begriff „pH-Wert“. Außerdem können sie Formelgleichungen aufstellen.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left:0;text-align:left;margin-left:-.05pt;margin-top:24.35pt;width:462.45pt;height:1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" strokecolor="#4bacc6" strokeweight="1pt">
                <v:stroke dashstyle="dash"/>
                <v:shadow color="#868686"/>
                <v:textbox>
                  <w:txbxContent>
                    <w:p w:rsidR="002F3182" w:rsidRPr="00DB0E4E" w:rsidRDefault="002F3182" w:rsidP="002F3182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In diesem Versuch werden verschiedene lösliche Hydroxide wie z.B. Natriumhydroxid und B</w:t>
                      </w:r>
                      <w:r>
                        <w:rPr>
                          <w:color w:val="auto"/>
                        </w:rPr>
                        <w:t>a</w:t>
                      </w:r>
                      <w:r>
                        <w:rPr>
                          <w:color w:val="auto"/>
                        </w:rPr>
                        <w:t xml:space="preserve">riumhydroxid in Wasser gelöst und mit einem Indikatorpapier oder einer Indikatorlösung (z.B. </w:t>
                      </w:r>
                      <w:proofErr w:type="spellStart"/>
                      <w:r>
                        <w:rPr>
                          <w:color w:val="auto"/>
                        </w:rPr>
                        <w:t>Thymolblau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) auf den pH-Wert untersucht. Das gleiche wird in Teil b) mit Ammoniakwasser durchgeführt. Die </w:t>
                      </w:r>
                      <w:proofErr w:type="spellStart"/>
                      <w:r>
                        <w:rPr>
                          <w:color w:val="auto"/>
                        </w:rPr>
                        <w:t>SuS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kennen bereits die Arrhenius-Theorie und den Nutzen von Indikatorp</w:t>
                      </w:r>
                      <w:r>
                        <w:rPr>
                          <w:color w:val="auto"/>
                        </w:rPr>
                        <w:t>a</w:t>
                      </w:r>
                      <w:r>
                        <w:rPr>
                          <w:color w:val="auto"/>
                        </w:rPr>
                        <w:t>pier/Lösung, sowie den Begriff „pH-Wert“. Außerdem können sie Formelgleichungen aufste</w:t>
                      </w:r>
                      <w:r>
                        <w:rPr>
                          <w:color w:val="auto"/>
                        </w:rPr>
                        <w:t>l</w:t>
                      </w:r>
                      <w:r>
                        <w:rPr>
                          <w:color w:val="auto"/>
                        </w:rPr>
                        <w:t>len.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2F3182" w:rsidRPr="00F274F1" w:rsidTr="00786F3F">
        <w:tc>
          <w:tcPr>
            <w:tcW w:w="9322" w:type="dxa"/>
            <w:gridSpan w:val="9"/>
            <w:shd w:val="clear" w:color="auto" w:fill="4F81BD"/>
            <w:vAlign w:val="center"/>
          </w:tcPr>
          <w:p w:rsidR="002F3182" w:rsidRPr="00F274F1" w:rsidRDefault="002F3182" w:rsidP="00786F3F">
            <w:pPr>
              <w:spacing w:after="0"/>
              <w:jc w:val="center"/>
              <w:rPr>
                <w:b/>
                <w:bCs/>
              </w:rPr>
            </w:pPr>
            <w:r w:rsidRPr="00F274F1">
              <w:rPr>
                <w:b/>
                <w:bCs/>
              </w:rPr>
              <w:t>Gefahrenstoffe</w:t>
            </w:r>
          </w:p>
        </w:tc>
      </w:tr>
      <w:tr w:rsidR="002F3182" w:rsidRPr="00F274F1" w:rsidTr="00786F3F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2F3182" w:rsidRPr="00CE4314" w:rsidRDefault="002F3182" w:rsidP="00786F3F">
            <w:pPr>
              <w:spacing w:after="0" w:line="276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Natriumhydroxid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2F3182" w:rsidRPr="00CE4314" w:rsidRDefault="002F3182" w:rsidP="00786F3F">
            <w:pPr>
              <w:pStyle w:val="Beschriftung"/>
              <w:spacing w:after="0"/>
              <w:jc w:val="center"/>
            </w:pPr>
            <w:r w:rsidRPr="00CE4314">
              <w:t xml:space="preserve">H: </w:t>
            </w:r>
            <w:r>
              <w:t>314, 290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2F3182" w:rsidRPr="00CE4314" w:rsidRDefault="002F3182" w:rsidP="00786F3F">
            <w:pPr>
              <w:pStyle w:val="Beschriftung"/>
              <w:spacing w:after="0"/>
              <w:jc w:val="center"/>
            </w:pPr>
            <w:r>
              <w:t>P: 280, 301+330+331, 305+351+338, 309+310</w:t>
            </w:r>
          </w:p>
        </w:tc>
      </w:tr>
      <w:tr w:rsidR="002F3182" w:rsidRPr="00F274F1" w:rsidTr="00786F3F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2F3182" w:rsidRPr="00CE4314" w:rsidRDefault="002F3182" w:rsidP="00786F3F">
            <w:pPr>
              <w:spacing w:after="0" w:line="276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Bariumhydroxid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2F3182" w:rsidRPr="00CE4314" w:rsidRDefault="002F3182" w:rsidP="00786F3F">
            <w:pPr>
              <w:pStyle w:val="Beschriftung"/>
              <w:spacing w:after="0"/>
              <w:jc w:val="center"/>
            </w:pPr>
            <w:r>
              <w:t>H: /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2F3182" w:rsidRPr="00CE4314" w:rsidRDefault="002F3182" w:rsidP="00786F3F">
            <w:pPr>
              <w:pStyle w:val="Beschriftung"/>
              <w:spacing w:after="0"/>
              <w:jc w:val="center"/>
            </w:pPr>
            <w:r>
              <w:t>P: /</w:t>
            </w:r>
          </w:p>
        </w:tc>
      </w:tr>
      <w:tr w:rsidR="002F3182" w:rsidRPr="00F274F1" w:rsidTr="00786F3F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2F3182" w:rsidRDefault="002F3182" w:rsidP="00786F3F">
            <w:pPr>
              <w:spacing w:after="0" w:line="276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Ammoniakwasser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2F3182" w:rsidRPr="00CE4314" w:rsidRDefault="002F3182" w:rsidP="00786F3F">
            <w:pPr>
              <w:pStyle w:val="Beschriftung"/>
              <w:spacing w:after="0"/>
              <w:jc w:val="center"/>
            </w:pPr>
            <w:r>
              <w:t>H: 314, 335, 400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2F3182" w:rsidRDefault="002F3182" w:rsidP="00786F3F">
            <w:pPr>
              <w:pStyle w:val="Beschriftung"/>
              <w:spacing w:after="0"/>
              <w:jc w:val="center"/>
            </w:pPr>
            <w:r>
              <w:t>P: 261, 273, 280, 305+351+338, 310</w:t>
            </w:r>
          </w:p>
        </w:tc>
      </w:tr>
      <w:tr w:rsidR="002F3182" w:rsidRPr="00F274F1" w:rsidTr="00786F3F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2F3182" w:rsidRDefault="002F3182" w:rsidP="00786F3F">
            <w:pPr>
              <w:spacing w:after="0" w:line="276" w:lineRule="auto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Thymolblau</w:t>
            </w:r>
            <w:proofErr w:type="spellEnd"/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2F3182" w:rsidRPr="00CE4314" w:rsidRDefault="002F3182" w:rsidP="00786F3F">
            <w:pPr>
              <w:pStyle w:val="Beschriftung"/>
              <w:spacing w:after="0"/>
              <w:jc w:val="center"/>
            </w:pPr>
            <w:r>
              <w:t>H: /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2F3182" w:rsidRDefault="002F3182" w:rsidP="00786F3F">
            <w:pPr>
              <w:pStyle w:val="Beschriftung"/>
              <w:spacing w:after="0"/>
              <w:jc w:val="center"/>
            </w:pPr>
            <w:r>
              <w:t>P: /</w:t>
            </w:r>
          </w:p>
        </w:tc>
      </w:tr>
      <w:tr w:rsidR="002F3182" w:rsidRPr="00F274F1" w:rsidTr="00786F3F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2F3182" w:rsidRDefault="002F3182" w:rsidP="00786F3F">
            <w:pPr>
              <w:spacing w:after="0" w:line="276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Ethanol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2F3182" w:rsidRPr="00CE4314" w:rsidRDefault="002F3182" w:rsidP="00786F3F">
            <w:pPr>
              <w:pStyle w:val="Beschriftung"/>
              <w:spacing w:after="0"/>
              <w:jc w:val="center"/>
            </w:pPr>
            <w:r>
              <w:t>H: 225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2F3182" w:rsidRDefault="002F3182" w:rsidP="00786F3F">
            <w:pPr>
              <w:pStyle w:val="Beschriftung"/>
              <w:spacing w:after="0"/>
              <w:jc w:val="center"/>
            </w:pPr>
            <w:r>
              <w:t>P: 210</w:t>
            </w:r>
          </w:p>
        </w:tc>
      </w:tr>
      <w:tr w:rsidR="002F3182" w:rsidRPr="00F274F1" w:rsidTr="00786F3F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F3182" w:rsidRPr="00F274F1" w:rsidRDefault="002F3182" w:rsidP="00786F3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9525" b="9525"/>
                  <wp:docPr id="11" name="Grafik 11" descr="Ät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Ät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F3182" w:rsidRPr="00F274F1" w:rsidRDefault="002F3182" w:rsidP="00786F3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9525" b="9525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F3182" w:rsidRPr="00F274F1" w:rsidRDefault="002F3182" w:rsidP="00786F3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9525" b="9525"/>
                  <wp:docPr id="9" name="Grafik 9" descr="Brenn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renn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F3182" w:rsidRPr="00F274F1" w:rsidRDefault="002F3182" w:rsidP="00786F3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9525" b="952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F3182" w:rsidRPr="00F274F1" w:rsidRDefault="002F3182" w:rsidP="00786F3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9525" b="952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F3182" w:rsidRPr="00F274F1" w:rsidRDefault="002F3182" w:rsidP="00786F3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9525" b="952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F3182" w:rsidRPr="00F274F1" w:rsidRDefault="002F3182" w:rsidP="00786F3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9525" b="952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F3182" w:rsidRPr="00F274F1" w:rsidRDefault="002F3182" w:rsidP="00786F3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9525" b="9525"/>
                  <wp:docPr id="4" name="Grafik 4" descr="Umweltgefa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mweltgefa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F3182" w:rsidRPr="00F274F1" w:rsidRDefault="002F3182" w:rsidP="00786F3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81025" cy="581025"/>
                  <wp:effectExtent l="0" t="0" r="9525" b="9525"/>
                  <wp:docPr id="3" name="Grafik 3" descr="Rei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i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182" w:rsidRPr="00F274F1" w:rsidRDefault="002F3182" w:rsidP="002F3182">
      <w:pPr>
        <w:tabs>
          <w:tab w:val="left" w:pos="1701"/>
          <w:tab w:val="left" w:pos="1985"/>
        </w:tabs>
        <w:ind w:left="1980" w:hanging="1980"/>
      </w:pPr>
    </w:p>
    <w:p w:rsidR="002F3182" w:rsidRPr="00F274F1" w:rsidRDefault="002F3182" w:rsidP="002F3182">
      <w:pPr>
        <w:tabs>
          <w:tab w:val="left" w:pos="1701"/>
          <w:tab w:val="left" w:pos="1985"/>
        </w:tabs>
        <w:ind w:left="1980" w:hanging="1980"/>
      </w:pPr>
      <w:r w:rsidRPr="00F274F1">
        <w:t xml:space="preserve">Materialien: </w:t>
      </w:r>
      <w:r w:rsidRPr="00F274F1">
        <w:tab/>
      </w:r>
      <w:r w:rsidRPr="00F274F1">
        <w:tab/>
      </w:r>
      <w:r>
        <w:t>4 Reagenzgläser oder Bechergläser, Pipette, Tiegelzange, Indikatorpapier</w:t>
      </w:r>
    </w:p>
    <w:p w:rsidR="002F3182" w:rsidRPr="00F274F1" w:rsidRDefault="002F3182" w:rsidP="002F3182">
      <w:pPr>
        <w:tabs>
          <w:tab w:val="left" w:pos="1701"/>
          <w:tab w:val="left" w:pos="1985"/>
        </w:tabs>
        <w:ind w:left="1980" w:hanging="1980"/>
      </w:pPr>
      <w:r w:rsidRPr="00F274F1">
        <w:t>Chemikalien:</w:t>
      </w:r>
      <w:r w:rsidRPr="00F274F1">
        <w:tab/>
      </w:r>
      <w:r w:rsidRPr="00F274F1">
        <w:tab/>
      </w:r>
      <w:proofErr w:type="spellStart"/>
      <w:r>
        <w:t>demin</w:t>
      </w:r>
      <w:proofErr w:type="spellEnd"/>
      <w:r>
        <w:t xml:space="preserve">. Wasser, </w:t>
      </w:r>
      <w:proofErr w:type="spellStart"/>
      <w:r>
        <w:t>Thymolblau</w:t>
      </w:r>
      <w:proofErr w:type="spellEnd"/>
      <w:r>
        <w:t>, Ethanol, Natriumhydroxid, Bariumhydroxid, Ammoniakwasser</w:t>
      </w:r>
    </w:p>
    <w:p w:rsidR="002F3182" w:rsidRDefault="002F3182" w:rsidP="002F3182">
      <w:pPr>
        <w:tabs>
          <w:tab w:val="left" w:pos="1701"/>
          <w:tab w:val="left" w:pos="1985"/>
        </w:tabs>
        <w:ind w:left="1980" w:hanging="1980"/>
      </w:pPr>
      <w:r w:rsidRPr="00F274F1">
        <w:t xml:space="preserve">Durchführung: </w:t>
      </w:r>
      <w:r w:rsidRPr="00F274F1">
        <w:tab/>
      </w:r>
      <w:r w:rsidRPr="00F274F1">
        <w:tab/>
      </w:r>
      <w:r>
        <w:t xml:space="preserve">Teil a) </w:t>
      </w:r>
    </w:p>
    <w:p w:rsidR="002F3182" w:rsidRDefault="002F3182" w:rsidP="002F3182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 xml:space="preserve">Von den Hydroxiden wird jeweils eine Spatelspitze in ein Reagenzglas/ Becherglas gegeben und anschließend in Wasser gelöst. 0,05 g </w:t>
      </w:r>
      <w:proofErr w:type="spellStart"/>
      <w:r>
        <w:t>Thymolblau</w:t>
      </w:r>
      <w:proofErr w:type="spellEnd"/>
      <w:r>
        <w:t xml:space="preserve"> wird in 100 g Ethanol gelöst, um so die Indikatorlösung frisch herzustellen. Anschließend wird die Lösung in die Reagenzgläser/ Bechergläser pipettiert oder es wird Indikatorpapier in die Reagenzgläser/ Bechergläser hineingehalten.</w:t>
      </w:r>
    </w:p>
    <w:p w:rsidR="002F3182" w:rsidRDefault="002F3182" w:rsidP="002F3182">
      <w:pPr>
        <w:tabs>
          <w:tab w:val="left" w:pos="1701"/>
          <w:tab w:val="left" w:pos="1985"/>
        </w:tabs>
        <w:ind w:left="1980" w:hanging="1980"/>
      </w:pPr>
    </w:p>
    <w:p w:rsidR="002F3182" w:rsidRDefault="002F3182" w:rsidP="002F3182">
      <w:pPr>
        <w:tabs>
          <w:tab w:val="left" w:pos="1701"/>
          <w:tab w:val="left" w:pos="1985"/>
        </w:tabs>
        <w:ind w:left="1980" w:hanging="1980"/>
      </w:pPr>
    </w:p>
    <w:p w:rsidR="002F3182" w:rsidRDefault="002F3182" w:rsidP="002F3182">
      <w:pPr>
        <w:tabs>
          <w:tab w:val="left" w:pos="1701"/>
          <w:tab w:val="left" w:pos="1985"/>
        </w:tabs>
        <w:ind w:left="1980" w:hanging="1980"/>
      </w:pPr>
      <w:r>
        <w:lastRenderedPageBreak/>
        <w:tab/>
      </w:r>
      <w:r>
        <w:tab/>
        <w:t>Teil b)</w:t>
      </w:r>
    </w:p>
    <w:p w:rsidR="002F3182" w:rsidRPr="00F274F1" w:rsidRDefault="002F3182" w:rsidP="002F3182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Die oben beschriebene Durchführung wird mit Ammoniakwasser ausgeführt.</w:t>
      </w:r>
    </w:p>
    <w:p w:rsidR="002F3182" w:rsidRDefault="002F3182" w:rsidP="002F3182">
      <w:pPr>
        <w:tabs>
          <w:tab w:val="left" w:pos="1701"/>
          <w:tab w:val="left" w:pos="1985"/>
        </w:tabs>
        <w:ind w:left="1980" w:hanging="1980"/>
      </w:pPr>
      <w:r w:rsidRPr="00F274F1">
        <w:t>Beobachtung:</w:t>
      </w:r>
      <w:r w:rsidRPr="00F274F1">
        <w:tab/>
      </w:r>
      <w:r w:rsidRPr="00F274F1">
        <w:tab/>
      </w:r>
      <w:r w:rsidRPr="00F274F1">
        <w:tab/>
      </w:r>
      <w:r>
        <w:t>Die Lösungen verfärben sich blau bzw. das Indikatorpapier färbt sich blau (bei Ammoniakwasser grün-blau).</w:t>
      </w:r>
    </w:p>
    <w:p w:rsidR="002F3182" w:rsidRPr="00F274F1" w:rsidRDefault="002F3182" w:rsidP="002F3182">
      <w:pPr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2562225" cy="1533525"/>
            <wp:effectExtent l="0" t="0" r="9525" b="9525"/>
            <wp:docPr id="2" name="Grafik 2" descr="Hydroxidionen Indikatorpap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ydroxidionen Indikatorpapie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de-DE"/>
        </w:rPr>
        <w:drawing>
          <wp:inline distT="0" distB="0" distL="0" distR="0">
            <wp:extent cx="2609850" cy="1533525"/>
            <wp:effectExtent l="0" t="0" r="0" b="9525"/>
            <wp:docPr id="1" name="Grafik 1" descr="Hydroxidionen Thymolbl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ydroxidionen Thymolblau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182" w:rsidRPr="008E7432" w:rsidRDefault="002F3182" w:rsidP="002F3182">
      <w:pPr>
        <w:pStyle w:val="Beschriftung"/>
        <w:jc w:val="center"/>
        <w:rPr>
          <w:noProof/>
        </w:rPr>
      </w:pPr>
      <w:r w:rsidRPr="00F274F1">
        <w:t xml:space="preserve">Abb. </w:t>
      </w:r>
      <w:r>
        <w:t>3</w:t>
      </w:r>
      <w:r w:rsidRPr="00F274F1">
        <w:t xml:space="preserve"> - </w:t>
      </w:r>
      <w:r w:rsidRPr="00F274F1">
        <w:rPr>
          <w:noProof/>
        </w:rPr>
        <w:t xml:space="preserve"> </w:t>
      </w:r>
      <w:r>
        <w:rPr>
          <w:noProof/>
        </w:rPr>
        <w:t>Indikatorpapier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8E7432">
        <w:t xml:space="preserve">Abb. </w:t>
      </w:r>
      <w:r>
        <w:t>4</w:t>
      </w:r>
      <w:r w:rsidRPr="008E7432">
        <w:t xml:space="preserve"> - </w:t>
      </w:r>
      <w:r w:rsidRPr="008E7432">
        <w:rPr>
          <w:noProof/>
        </w:rPr>
        <w:t xml:space="preserve"> </w:t>
      </w:r>
      <w:r>
        <w:rPr>
          <w:noProof/>
        </w:rPr>
        <w:t>Thymolblau</w:t>
      </w:r>
    </w:p>
    <w:p w:rsidR="002F3182" w:rsidRDefault="002F3182" w:rsidP="002F3182">
      <w:pPr>
        <w:tabs>
          <w:tab w:val="left" w:pos="1701"/>
          <w:tab w:val="left" w:pos="1985"/>
        </w:tabs>
        <w:ind w:left="1980" w:hanging="1980"/>
      </w:pPr>
      <w:r w:rsidRPr="00F274F1">
        <w:t>Deutung:</w:t>
      </w:r>
      <w:r w:rsidRPr="00F274F1">
        <w:tab/>
      </w:r>
      <w:r w:rsidRPr="00F274F1">
        <w:tab/>
      </w:r>
      <w:r>
        <w:t>Teil a) kann mit der Theorie von Arrhenius erläutert werden: Es handelt sich um Basen, die in wässrigen Lösungen OH</w:t>
      </w:r>
      <w:r>
        <w:rPr>
          <w:vertAlign w:val="superscript"/>
        </w:rPr>
        <w:t>-</w:t>
      </w:r>
      <w:r>
        <w:t xml:space="preserve"> - Ionen bilden.</w:t>
      </w:r>
    </w:p>
    <w:p w:rsidR="002F3182" w:rsidRDefault="002F3182" w:rsidP="002F3182">
      <w:pPr>
        <w:tabs>
          <w:tab w:val="left" w:pos="1701"/>
          <w:tab w:val="left" w:pos="1985"/>
        </w:tabs>
        <w:ind w:left="1980" w:hanging="1980"/>
        <w:rPr>
          <w:lang w:val="en-US"/>
        </w:rPr>
      </w:pPr>
      <w:r>
        <w:tab/>
      </w:r>
      <w:r>
        <w:tab/>
      </w:r>
      <w:proofErr w:type="gramStart"/>
      <w:r w:rsidRPr="00755B45">
        <w:rPr>
          <w:lang w:val="en-US"/>
        </w:rPr>
        <w:t>Ba(</w:t>
      </w:r>
      <w:proofErr w:type="gramEnd"/>
      <w:r w:rsidRPr="00755B45">
        <w:rPr>
          <w:lang w:val="en-US"/>
        </w:rPr>
        <w:t>OH)</w:t>
      </w:r>
      <w:r w:rsidRPr="00755B45">
        <w:rPr>
          <w:vertAlign w:val="subscript"/>
          <w:lang w:val="en-US"/>
        </w:rPr>
        <w:t>2(s)</w:t>
      </w:r>
      <w:r w:rsidRPr="00755B45">
        <w:rPr>
          <w:lang w:val="en-US"/>
        </w:rPr>
        <w:t xml:space="preserve"> + H</w:t>
      </w:r>
      <w:r w:rsidRPr="00755B45">
        <w:rPr>
          <w:vertAlign w:val="subscript"/>
          <w:lang w:val="en-US"/>
        </w:rPr>
        <w:t>2</w:t>
      </w:r>
      <w:r w:rsidRPr="00755B45">
        <w:rPr>
          <w:lang w:val="en-US"/>
        </w:rPr>
        <w:t>O</w:t>
      </w:r>
      <w:r w:rsidRPr="00755B45">
        <w:rPr>
          <w:vertAlign w:val="subscript"/>
          <w:lang w:val="en-US"/>
        </w:rPr>
        <w:t>(l)</w:t>
      </w:r>
      <w:r w:rsidRPr="00755B45">
        <w:rPr>
          <w:lang w:val="en-US"/>
        </w:rPr>
        <w:t xml:space="preserve"> → Ba</w:t>
      </w:r>
      <w:r w:rsidRPr="00755B45">
        <w:rPr>
          <w:vertAlign w:val="superscript"/>
          <w:lang w:val="en-US"/>
        </w:rPr>
        <w:t>2+</w:t>
      </w:r>
      <w:r>
        <w:rPr>
          <w:vertAlign w:val="subscript"/>
          <w:lang w:val="en-US"/>
        </w:rPr>
        <w:t>(</w:t>
      </w:r>
      <w:proofErr w:type="spellStart"/>
      <w:r>
        <w:rPr>
          <w:vertAlign w:val="subscript"/>
          <w:lang w:val="en-US"/>
        </w:rPr>
        <w:t>aq</w:t>
      </w:r>
      <w:proofErr w:type="spellEnd"/>
      <w:r>
        <w:rPr>
          <w:vertAlign w:val="subscript"/>
          <w:lang w:val="en-US"/>
        </w:rPr>
        <w:t>)</w:t>
      </w:r>
      <w:r>
        <w:rPr>
          <w:lang w:val="en-US"/>
        </w:rPr>
        <w:t xml:space="preserve"> + 2 OH</w:t>
      </w:r>
      <w:r>
        <w:rPr>
          <w:vertAlign w:val="superscript"/>
          <w:lang w:val="en-US"/>
        </w:rPr>
        <w:t>-</w:t>
      </w:r>
      <w:r>
        <w:rPr>
          <w:vertAlign w:val="subscript"/>
          <w:lang w:val="en-US"/>
        </w:rPr>
        <w:t>(</w:t>
      </w:r>
      <w:proofErr w:type="spellStart"/>
      <w:r>
        <w:rPr>
          <w:vertAlign w:val="subscript"/>
          <w:lang w:val="en-US"/>
        </w:rPr>
        <w:t>aq</w:t>
      </w:r>
      <w:proofErr w:type="spellEnd"/>
      <w:r>
        <w:rPr>
          <w:vertAlign w:val="subscript"/>
          <w:lang w:val="en-US"/>
        </w:rPr>
        <w:t>)</w:t>
      </w:r>
    </w:p>
    <w:p w:rsidR="002F3182" w:rsidRDefault="002F3182" w:rsidP="002F3182">
      <w:pPr>
        <w:tabs>
          <w:tab w:val="left" w:pos="1701"/>
          <w:tab w:val="left" w:pos="1985"/>
        </w:tabs>
        <w:ind w:left="1980" w:hanging="198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NaOH</w:t>
      </w:r>
      <w:proofErr w:type="spellEnd"/>
      <w:r>
        <w:rPr>
          <w:vertAlign w:val="subscript"/>
          <w:lang w:val="en-US"/>
        </w:rPr>
        <w:t>(s)</w:t>
      </w:r>
      <w:r>
        <w:rPr>
          <w:lang w:val="en-US"/>
        </w:rPr>
        <w:t xml:space="preserve"> + </w:t>
      </w:r>
      <w:proofErr w:type="gramStart"/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(</w:t>
      </w:r>
      <w:proofErr w:type="gramEnd"/>
      <w:r>
        <w:rPr>
          <w:vertAlign w:val="subscript"/>
          <w:lang w:val="en-US"/>
        </w:rPr>
        <w:t>l)</w:t>
      </w:r>
      <w:r>
        <w:rPr>
          <w:lang w:val="en-US"/>
        </w:rPr>
        <w:t xml:space="preserve"> → Na</w:t>
      </w:r>
      <w:r>
        <w:rPr>
          <w:vertAlign w:val="superscript"/>
          <w:lang w:val="en-US"/>
        </w:rPr>
        <w:t>+</w:t>
      </w:r>
      <w:r>
        <w:rPr>
          <w:vertAlign w:val="subscript"/>
          <w:lang w:val="en-US"/>
        </w:rPr>
        <w:t>(</w:t>
      </w:r>
      <w:proofErr w:type="spellStart"/>
      <w:r>
        <w:rPr>
          <w:vertAlign w:val="subscript"/>
          <w:lang w:val="en-US"/>
        </w:rPr>
        <w:t>aq</w:t>
      </w:r>
      <w:proofErr w:type="spellEnd"/>
      <w:r>
        <w:rPr>
          <w:vertAlign w:val="subscript"/>
          <w:lang w:val="en-US"/>
        </w:rPr>
        <w:t>)</w:t>
      </w:r>
      <w:r>
        <w:rPr>
          <w:lang w:val="en-US"/>
        </w:rPr>
        <w:t xml:space="preserve"> + OH</w:t>
      </w:r>
      <w:r>
        <w:rPr>
          <w:vertAlign w:val="superscript"/>
          <w:lang w:val="en-US"/>
        </w:rPr>
        <w:t>-</w:t>
      </w:r>
      <w:r>
        <w:rPr>
          <w:vertAlign w:val="subscript"/>
          <w:lang w:val="en-US"/>
        </w:rPr>
        <w:t>(</w:t>
      </w:r>
      <w:proofErr w:type="spellStart"/>
      <w:r>
        <w:rPr>
          <w:vertAlign w:val="subscript"/>
          <w:lang w:val="en-US"/>
        </w:rPr>
        <w:t>aq</w:t>
      </w:r>
      <w:proofErr w:type="spellEnd"/>
      <w:r>
        <w:rPr>
          <w:vertAlign w:val="subscript"/>
          <w:lang w:val="en-US"/>
        </w:rPr>
        <w:t>)</w:t>
      </w:r>
      <w:r>
        <w:rPr>
          <w:lang w:val="en-US"/>
        </w:rPr>
        <w:t xml:space="preserve"> </w:t>
      </w:r>
    </w:p>
    <w:p w:rsidR="002F3182" w:rsidRDefault="002F3182" w:rsidP="002F3182">
      <w:pPr>
        <w:tabs>
          <w:tab w:val="left" w:pos="1701"/>
          <w:tab w:val="left" w:pos="1985"/>
        </w:tabs>
        <w:ind w:left="1980" w:hanging="1980"/>
      </w:pPr>
      <w:r>
        <w:rPr>
          <w:lang w:val="en-US"/>
        </w:rPr>
        <w:tab/>
      </w:r>
      <w:r>
        <w:rPr>
          <w:lang w:val="en-US"/>
        </w:rPr>
        <w:tab/>
      </w:r>
      <w:r w:rsidRPr="00E75620">
        <w:t xml:space="preserve">Teil b) kann nicht mehr mit dem Arrhenius-Konzept erklärt </w:t>
      </w:r>
      <w:r>
        <w:t>we</w:t>
      </w:r>
      <w:r w:rsidRPr="00E75620">
        <w:t>rden, son</w:t>
      </w:r>
      <w:r>
        <w:t xml:space="preserve">dern mit der </w:t>
      </w:r>
      <w:proofErr w:type="spellStart"/>
      <w:r>
        <w:t>Brönstedt</w:t>
      </w:r>
      <w:proofErr w:type="spellEnd"/>
      <w:r>
        <w:t>-Theorie, als Protonenakzeptor:</w:t>
      </w:r>
    </w:p>
    <w:p w:rsidR="002F3182" w:rsidRPr="00E75620" w:rsidRDefault="002F3182" w:rsidP="002F3182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NH</w:t>
      </w:r>
      <w:r>
        <w:rPr>
          <w:vertAlign w:val="subscript"/>
        </w:rPr>
        <w:t>3(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+ </w:t>
      </w:r>
      <w:r w:rsidRPr="00E75620">
        <w:t>H</w:t>
      </w:r>
      <w:r w:rsidRPr="00E75620">
        <w:rPr>
          <w:vertAlign w:val="subscript"/>
        </w:rPr>
        <w:t>2</w:t>
      </w:r>
      <w:r w:rsidRPr="00E75620">
        <w:t>O</w:t>
      </w:r>
      <w:r w:rsidRPr="00E75620">
        <w:rPr>
          <w:vertAlign w:val="subscript"/>
        </w:rPr>
        <w:t>(l)</w:t>
      </w:r>
      <w:r w:rsidRPr="00E75620">
        <w:t xml:space="preserve"> → NH</w:t>
      </w:r>
      <w:r w:rsidRPr="00E75620">
        <w:rPr>
          <w:vertAlign w:val="subscript"/>
        </w:rPr>
        <w:t>4</w:t>
      </w:r>
      <w:r w:rsidRPr="00E75620">
        <w:rPr>
          <w:vertAlign w:val="superscript"/>
        </w:rPr>
        <w:t>+</w:t>
      </w:r>
      <w:r w:rsidRPr="00E75620">
        <w:rPr>
          <w:vertAlign w:val="subscript"/>
        </w:rPr>
        <w:t>(</w:t>
      </w:r>
      <w:proofErr w:type="spellStart"/>
      <w:r w:rsidRPr="00E75620">
        <w:rPr>
          <w:vertAlign w:val="subscript"/>
        </w:rPr>
        <w:t>aq</w:t>
      </w:r>
      <w:proofErr w:type="spellEnd"/>
      <w:r w:rsidRPr="00E75620">
        <w:rPr>
          <w:vertAlign w:val="subscript"/>
        </w:rPr>
        <w:t>)</w:t>
      </w:r>
      <w:r>
        <w:t xml:space="preserve"> + OH</w:t>
      </w:r>
      <w:r>
        <w:rPr>
          <w:vertAlign w:val="superscript"/>
        </w:rPr>
        <w:t>-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</w:p>
    <w:p w:rsidR="002F3182" w:rsidRPr="00F274F1" w:rsidRDefault="002F3182" w:rsidP="002F3182">
      <w:pPr>
        <w:tabs>
          <w:tab w:val="left" w:pos="1701"/>
          <w:tab w:val="left" w:pos="1985"/>
        </w:tabs>
        <w:ind w:left="1980" w:hanging="1980"/>
      </w:pPr>
      <w:r>
        <w:t xml:space="preserve">Entsorgung: </w:t>
      </w:r>
      <w:r>
        <w:tab/>
      </w:r>
      <w:r>
        <w:tab/>
        <w:t>Die Lösungen werden in den Säure-Base-Sammelbehälter entsorgt.</w:t>
      </w:r>
    </w:p>
    <w:p w:rsidR="002F3182" w:rsidRPr="00F274F1" w:rsidRDefault="002F3182" w:rsidP="002F3182">
      <w:pPr>
        <w:spacing w:line="276" w:lineRule="auto"/>
        <w:ind w:left="1980" w:hanging="1980"/>
        <w:jc w:val="left"/>
      </w:pPr>
      <w:r>
        <w:t>Literatur:</w:t>
      </w:r>
      <w:r>
        <w:tab/>
      </w:r>
      <w:r>
        <w:rPr>
          <w:noProof/>
        </w:rPr>
        <w:t xml:space="preserve">Häusler, K. et al.(1995): </w:t>
      </w:r>
      <w:r>
        <w:rPr>
          <w:i/>
          <w:noProof/>
        </w:rPr>
        <w:t>Experimente für den Chemieunterricht</w:t>
      </w:r>
      <w:r>
        <w:rPr>
          <w:noProof/>
        </w:rPr>
        <w:t>, München: Oldenbourg, S. 117.</w:t>
      </w:r>
    </w:p>
    <w:p w:rsidR="002F3182" w:rsidRDefault="002F3182" w:rsidP="002F3182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873115" cy="1624330"/>
                <wp:effectExtent l="0" t="0" r="13335" b="13970"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6243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3182" w:rsidRDefault="002F3182" w:rsidP="002F3182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Der Versuch eignet sich besonders, um das Säure-Base-Konzept von Arrhenius zu erweitern und das Konzept von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Brönstedt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einzuführen, da es sich bei Ammoniak laut Arrhenius nicht um eine Base handelt (sie kann keine Hydroxidionen abspalten).</w:t>
                            </w:r>
                          </w:p>
                          <w:p w:rsidR="002F3182" w:rsidRPr="0076167A" w:rsidRDefault="002F3182" w:rsidP="002F3182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Die obigen Fotos zeigen, dass der Effekt mit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Thymolblau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größer ist, da alle drei Lösungen eindeutig blau geworden sind. Das Indikatorpapier der Ammoniaklösung ist hingegen nicht eindeutig blau geworden. Für diesen Versuch reichen niedrige Konzentrationen der Lösungen!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12" o:spid="_x0000_s1027" type="#_x0000_t202" style="width:462.45pt;height:12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" strokecolor="#c0504d" strokeweight="1pt">
                <v:stroke dashstyle="dash"/>
                <v:shadow color="#868686"/>
                <v:textbox>
                  <w:txbxContent>
                    <w:p w:rsidR="002F3182" w:rsidRDefault="002F3182" w:rsidP="002F3182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Der Versuch eignet sich besonders, um das Säure-Base-Konzept von Arrhenius zu erweitern und das Konzept von </w:t>
                      </w:r>
                      <w:proofErr w:type="spellStart"/>
                      <w:r>
                        <w:rPr>
                          <w:color w:val="auto"/>
                        </w:rPr>
                        <w:t>Brönstedt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einzuführen, da es sich bei Ammoniak laut Arrhenius nicht um eine Base handelt (sie kann keine Hydroxidionen abspalten).</w:t>
                      </w:r>
                    </w:p>
                    <w:p w:rsidR="002F3182" w:rsidRPr="0076167A" w:rsidRDefault="002F3182" w:rsidP="002F3182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Die obigen Fotos zeigen, dass der Effekt mit </w:t>
                      </w:r>
                      <w:proofErr w:type="spellStart"/>
                      <w:r>
                        <w:rPr>
                          <w:color w:val="auto"/>
                        </w:rPr>
                        <w:t>Thymolblau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größer ist, da alle drei Lösungen eindeutig blau geworden sind. Das Indikatorpapier der Ammoniaklösung ist hingegen nicht eindeutig blau geworden. Für diesen Versuch reichen niedrige Konzentrationen der Lösu</w:t>
                      </w:r>
                      <w:r>
                        <w:rPr>
                          <w:color w:val="auto"/>
                        </w:rPr>
                        <w:t>n</w:t>
                      </w:r>
                      <w:r>
                        <w:rPr>
                          <w:color w:val="auto"/>
                        </w:rPr>
                        <w:t>gen!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A13E1" w:rsidRDefault="000A13E1"/>
    <w:sectPr w:rsidR="000A13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DE"/>
    <w:rsid w:val="000A13E1"/>
    <w:rsid w:val="002F3182"/>
    <w:rsid w:val="006860D6"/>
    <w:rsid w:val="007F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3182"/>
    <w:pPr>
      <w:spacing w:line="360" w:lineRule="auto"/>
      <w:jc w:val="both"/>
    </w:pPr>
    <w:rPr>
      <w:rFonts w:ascii="Cambria" w:eastAsia="Calibri" w:hAnsi="Cambria" w:cs="Times New Roman"/>
      <w:color w:val="1D1B1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F3182"/>
    <w:pPr>
      <w:keepNext/>
      <w:keepLines/>
      <w:numPr>
        <w:numId w:val="1"/>
      </w:numPr>
      <w:spacing w:before="360" w:after="240"/>
      <w:outlineLvl w:val="0"/>
    </w:pPr>
    <w:rPr>
      <w:rFonts w:eastAsia="MS Gothic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F3182"/>
    <w:pPr>
      <w:keepNext/>
      <w:keepLines/>
      <w:numPr>
        <w:ilvl w:val="1"/>
        <w:numId w:val="1"/>
      </w:numPr>
      <w:spacing w:before="200"/>
      <w:outlineLvl w:val="1"/>
    </w:pPr>
    <w:rPr>
      <w:rFonts w:eastAsia="MS Gothic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F3182"/>
    <w:pPr>
      <w:keepNext/>
      <w:keepLines/>
      <w:numPr>
        <w:ilvl w:val="2"/>
        <w:numId w:val="1"/>
      </w:numPr>
      <w:spacing w:before="200" w:after="120"/>
      <w:outlineLvl w:val="2"/>
    </w:pPr>
    <w:rPr>
      <w:rFonts w:eastAsia="MS Gothic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F3182"/>
    <w:pPr>
      <w:keepNext/>
      <w:keepLines/>
      <w:numPr>
        <w:ilvl w:val="3"/>
        <w:numId w:val="1"/>
      </w:numPr>
      <w:spacing w:before="200" w:after="0"/>
      <w:outlineLvl w:val="3"/>
    </w:pPr>
    <w:rPr>
      <w:rFonts w:eastAsia="MS Gothic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F3182"/>
    <w:pPr>
      <w:keepNext/>
      <w:keepLines/>
      <w:numPr>
        <w:ilvl w:val="4"/>
        <w:numId w:val="1"/>
      </w:numPr>
      <w:spacing w:before="200" w:after="0"/>
      <w:outlineLvl w:val="4"/>
    </w:pPr>
    <w:rPr>
      <w:rFonts w:eastAsia="MS Gothic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F3182"/>
    <w:pPr>
      <w:keepNext/>
      <w:keepLines/>
      <w:numPr>
        <w:ilvl w:val="5"/>
        <w:numId w:val="1"/>
      </w:numPr>
      <w:spacing w:before="200" w:after="0"/>
      <w:outlineLvl w:val="5"/>
    </w:pPr>
    <w:rPr>
      <w:rFonts w:eastAsia="MS Gothic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F3182"/>
    <w:pPr>
      <w:keepNext/>
      <w:keepLines/>
      <w:numPr>
        <w:ilvl w:val="6"/>
        <w:numId w:val="1"/>
      </w:numPr>
      <w:spacing w:before="200" w:after="0"/>
      <w:outlineLvl w:val="6"/>
    </w:pPr>
    <w:rPr>
      <w:rFonts w:eastAsia="MS Gothic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F3182"/>
    <w:pPr>
      <w:keepNext/>
      <w:keepLines/>
      <w:numPr>
        <w:ilvl w:val="7"/>
        <w:numId w:val="1"/>
      </w:numPr>
      <w:spacing w:before="200" w:after="0"/>
      <w:outlineLvl w:val="7"/>
    </w:pPr>
    <w:rPr>
      <w:rFonts w:eastAsia="MS Gothic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F3182"/>
    <w:pPr>
      <w:keepNext/>
      <w:keepLines/>
      <w:numPr>
        <w:ilvl w:val="8"/>
        <w:numId w:val="1"/>
      </w:numPr>
      <w:spacing w:before="200" w:after="0"/>
      <w:outlineLvl w:val="8"/>
    </w:pPr>
    <w:rPr>
      <w:rFonts w:eastAsia="MS Gothic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F3182"/>
    <w:rPr>
      <w:rFonts w:ascii="Cambria" w:eastAsia="MS Gothic" w:hAnsi="Cambria" w:cs="Times New Roman"/>
      <w:b/>
      <w:bCs/>
      <w:color w:val="1D1B1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F3182"/>
    <w:rPr>
      <w:rFonts w:ascii="Cambria" w:eastAsia="MS Gothic" w:hAnsi="Cambria" w:cs="Times New Roman"/>
      <w:b/>
      <w:bCs/>
      <w:color w:val="1D1B1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F3182"/>
    <w:rPr>
      <w:rFonts w:ascii="Cambria" w:eastAsia="MS Gothic" w:hAnsi="Cambria" w:cs="Times New Roman"/>
      <w:b/>
      <w:bCs/>
      <w:i/>
      <w:color w:val="1D1B1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3182"/>
    <w:rPr>
      <w:rFonts w:ascii="Cambria" w:eastAsia="MS Gothic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F3182"/>
    <w:rPr>
      <w:rFonts w:ascii="Cambria" w:eastAsia="MS Gothic" w:hAnsi="Cambria" w:cs="Times New Roman"/>
      <w:color w:val="243F6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F3182"/>
    <w:rPr>
      <w:rFonts w:ascii="Cambria" w:eastAsia="MS Gothic" w:hAnsi="Cambria" w:cs="Times New Roman"/>
      <w:i/>
      <w:iCs/>
      <w:color w:val="243F6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F3182"/>
    <w:rPr>
      <w:rFonts w:ascii="Cambria" w:eastAsia="MS Gothic" w:hAnsi="Cambria" w:cs="Times New Roman"/>
      <w:i/>
      <w:iCs/>
      <w:color w:val="40404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F3182"/>
    <w:rPr>
      <w:rFonts w:ascii="Cambria" w:eastAsia="MS Gothic" w:hAnsi="Cambria" w:cs="Times New Roman"/>
      <w:color w:val="40404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F3182"/>
    <w:rPr>
      <w:rFonts w:ascii="Cambria" w:eastAsia="MS Gothic" w:hAnsi="Cambria" w:cs="Times New Roman"/>
      <w:i/>
      <w:iCs/>
      <w:color w:val="404040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2F3182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3182"/>
    <w:rPr>
      <w:rFonts w:ascii="Tahoma" w:eastAsia="Calibri" w:hAnsi="Tahoma" w:cs="Tahoma"/>
      <w:color w:val="1D1B1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3182"/>
    <w:pPr>
      <w:spacing w:line="360" w:lineRule="auto"/>
      <w:jc w:val="both"/>
    </w:pPr>
    <w:rPr>
      <w:rFonts w:ascii="Cambria" w:eastAsia="Calibri" w:hAnsi="Cambria" w:cs="Times New Roman"/>
      <w:color w:val="1D1B1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F3182"/>
    <w:pPr>
      <w:keepNext/>
      <w:keepLines/>
      <w:numPr>
        <w:numId w:val="1"/>
      </w:numPr>
      <w:spacing w:before="360" w:after="240"/>
      <w:outlineLvl w:val="0"/>
    </w:pPr>
    <w:rPr>
      <w:rFonts w:eastAsia="MS Gothic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F3182"/>
    <w:pPr>
      <w:keepNext/>
      <w:keepLines/>
      <w:numPr>
        <w:ilvl w:val="1"/>
        <w:numId w:val="1"/>
      </w:numPr>
      <w:spacing w:before="200"/>
      <w:outlineLvl w:val="1"/>
    </w:pPr>
    <w:rPr>
      <w:rFonts w:eastAsia="MS Gothic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F3182"/>
    <w:pPr>
      <w:keepNext/>
      <w:keepLines/>
      <w:numPr>
        <w:ilvl w:val="2"/>
        <w:numId w:val="1"/>
      </w:numPr>
      <w:spacing w:before="200" w:after="120"/>
      <w:outlineLvl w:val="2"/>
    </w:pPr>
    <w:rPr>
      <w:rFonts w:eastAsia="MS Gothic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F3182"/>
    <w:pPr>
      <w:keepNext/>
      <w:keepLines/>
      <w:numPr>
        <w:ilvl w:val="3"/>
        <w:numId w:val="1"/>
      </w:numPr>
      <w:spacing w:before="200" w:after="0"/>
      <w:outlineLvl w:val="3"/>
    </w:pPr>
    <w:rPr>
      <w:rFonts w:eastAsia="MS Gothic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F3182"/>
    <w:pPr>
      <w:keepNext/>
      <w:keepLines/>
      <w:numPr>
        <w:ilvl w:val="4"/>
        <w:numId w:val="1"/>
      </w:numPr>
      <w:spacing w:before="200" w:after="0"/>
      <w:outlineLvl w:val="4"/>
    </w:pPr>
    <w:rPr>
      <w:rFonts w:eastAsia="MS Gothic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F3182"/>
    <w:pPr>
      <w:keepNext/>
      <w:keepLines/>
      <w:numPr>
        <w:ilvl w:val="5"/>
        <w:numId w:val="1"/>
      </w:numPr>
      <w:spacing w:before="200" w:after="0"/>
      <w:outlineLvl w:val="5"/>
    </w:pPr>
    <w:rPr>
      <w:rFonts w:eastAsia="MS Gothic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F3182"/>
    <w:pPr>
      <w:keepNext/>
      <w:keepLines/>
      <w:numPr>
        <w:ilvl w:val="6"/>
        <w:numId w:val="1"/>
      </w:numPr>
      <w:spacing w:before="200" w:after="0"/>
      <w:outlineLvl w:val="6"/>
    </w:pPr>
    <w:rPr>
      <w:rFonts w:eastAsia="MS Gothic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F3182"/>
    <w:pPr>
      <w:keepNext/>
      <w:keepLines/>
      <w:numPr>
        <w:ilvl w:val="7"/>
        <w:numId w:val="1"/>
      </w:numPr>
      <w:spacing w:before="200" w:after="0"/>
      <w:outlineLvl w:val="7"/>
    </w:pPr>
    <w:rPr>
      <w:rFonts w:eastAsia="MS Gothic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F3182"/>
    <w:pPr>
      <w:keepNext/>
      <w:keepLines/>
      <w:numPr>
        <w:ilvl w:val="8"/>
        <w:numId w:val="1"/>
      </w:numPr>
      <w:spacing w:before="200" w:after="0"/>
      <w:outlineLvl w:val="8"/>
    </w:pPr>
    <w:rPr>
      <w:rFonts w:eastAsia="MS Gothic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F3182"/>
    <w:rPr>
      <w:rFonts w:ascii="Cambria" w:eastAsia="MS Gothic" w:hAnsi="Cambria" w:cs="Times New Roman"/>
      <w:b/>
      <w:bCs/>
      <w:color w:val="1D1B1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F3182"/>
    <w:rPr>
      <w:rFonts w:ascii="Cambria" w:eastAsia="MS Gothic" w:hAnsi="Cambria" w:cs="Times New Roman"/>
      <w:b/>
      <w:bCs/>
      <w:color w:val="1D1B1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F3182"/>
    <w:rPr>
      <w:rFonts w:ascii="Cambria" w:eastAsia="MS Gothic" w:hAnsi="Cambria" w:cs="Times New Roman"/>
      <w:b/>
      <w:bCs/>
      <w:i/>
      <w:color w:val="1D1B1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3182"/>
    <w:rPr>
      <w:rFonts w:ascii="Cambria" w:eastAsia="MS Gothic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F3182"/>
    <w:rPr>
      <w:rFonts w:ascii="Cambria" w:eastAsia="MS Gothic" w:hAnsi="Cambria" w:cs="Times New Roman"/>
      <w:color w:val="243F6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F3182"/>
    <w:rPr>
      <w:rFonts w:ascii="Cambria" w:eastAsia="MS Gothic" w:hAnsi="Cambria" w:cs="Times New Roman"/>
      <w:i/>
      <w:iCs/>
      <w:color w:val="243F6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F3182"/>
    <w:rPr>
      <w:rFonts w:ascii="Cambria" w:eastAsia="MS Gothic" w:hAnsi="Cambria" w:cs="Times New Roman"/>
      <w:i/>
      <w:iCs/>
      <w:color w:val="40404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F3182"/>
    <w:rPr>
      <w:rFonts w:ascii="Cambria" w:eastAsia="MS Gothic" w:hAnsi="Cambria" w:cs="Times New Roman"/>
      <w:color w:val="40404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F3182"/>
    <w:rPr>
      <w:rFonts w:ascii="Cambria" w:eastAsia="MS Gothic" w:hAnsi="Cambria" w:cs="Times New Roman"/>
      <w:i/>
      <w:iCs/>
      <w:color w:val="404040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2F3182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3182"/>
    <w:rPr>
      <w:rFonts w:ascii="Tahoma" w:eastAsia="Calibri" w:hAnsi="Tahoma" w:cs="Tahoma"/>
      <w:color w:val="1D1B1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4</cp:revision>
  <cp:lastPrinted>2014-08-26T20:33:00Z</cp:lastPrinted>
  <dcterms:created xsi:type="dcterms:W3CDTF">2014-08-26T11:35:00Z</dcterms:created>
  <dcterms:modified xsi:type="dcterms:W3CDTF">2014-08-26T20:33:00Z</dcterms:modified>
</cp:coreProperties>
</file>