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E0" w:rsidRPr="00F274F1" w:rsidRDefault="00AD14E0" w:rsidP="00AD14E0">
      <w:pPr>
        <w:pStyle w:val="berschrift2"/>
        <w:numPr>
          <w:ilvl w:val="0"/>
          <w:numId w:val="0"/>
        </w:numPr>
        <w:ind w:left="576" w:hanging="576"/>
      </w:pPr>
      <w:bookmarkStart w:id="0" w:name="_Toc396823107"/>
      <w:bookmarkStart w:id="1" w:name="_GoBack"/>
      <w:bookmarkEnd w:id="1"/>
      <w:r>
        <w:t>V 3</w:t>
      </w:r>
      <w:r w:rsidRPr="00F274F1">
        <w:t xml:space="preserve"> – </w:t>
      </w:r>
      <w:r>
        <w:t>Zitronensäure</w:t>
      </w:r>
      <w:bookmarkEnd w:id="0"/>
    </w:p>
    <w:p w:rsidR="00AD14E0" w:rsidRPr="00F274F1" w:rsidRDefault="00AD14E0" w:rsidP="00AD14E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D228F" wp14:editId="042399A0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5873115" cy="1296670"/>
                <wp:effectExtent l="0" t="0" r="13335" b="1778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4E0" w:rsidRPr="00DB0E4E" w:rsidRDefault="00AD14E0" w:rsidP="00AD14E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erläutert das Arrhenius-Prinzip. Es wird gezeigt, dass Zitronensäurepulver bei dem Indikatorpapier keine Reaktion zeigt. Erst wenn Wasser hinzugegeben wird, färbt sich das Papier rot.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kennen bereits die Arrhenius-Theorie und den Nutzen von Indikatorpapier/Lösung, sowie den Begriff „pH-Wert“. Außerdem können sie Formelgleichungen aufstellen.</w:t>
                            </w:r>
                          </w:p>
                          <w:p w:rsidR="00AD14E0" w:rsidRPr="00DB0E4E" w:rsidRDefault="00AD14E0" w:rsidP="00AD14E0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-.05pt;margin-top:18.35pt;width:462.45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" strokecolor="#4bacc6" strokeweight="1pt">
                <v:stroke dashstyle="dash"/>
                <v:shadow color="#868686"/>
                <v:textbox>
                  <w:txbxContent>
                    <w:p w:rsidR="00AD14E0" w:rsidRPr="00DB0E4E" w:rsidRDefault="00AD14E0" w:rsidP="00AD14E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erläutert das Arrhenius-Prinzip. Es wird gezeigt, dass Zitronensäurepulver bei dem Indikatorpapier keine Reaktion zeigt. Erst wenn Wasser hinzugegeben wird, färbt sich das Papier rot.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kennen bereits die Arrhenius-Theorie und den Nutzen von Indikatorp</w:t>
                      </w:r>
                      <w:r>
                        <w:rPr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>pier/Lösung, sowie den Begriff „pH-Wert“. Außerdem können sie Formelgleichungen aufste</w:t>
                      </w:r>
                      <w:r>
                        <w:rPr>
                          <w:color w:val="auto"/>
                        </w:rPr>
                        <w:t>l</w:t>
                      </w:r>
                      <w:r>
                        <w:rPr>
                          <w:color w:val="auto"/>
                        </w:rPr>
                        <w:t>len.</w:t>
                      </w:r>
                    </w:p>
                    <w:p w:rsidR="00AD14E0" w:rsidRPr="00DB0E4E" w:rsidRDefault="00AD14E0" w:rsidP="00AD14E0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D14E0" w:rsidRPr="00CD03BD" w:rsidTr="00786F3F">
        <w:tc>
          <w:tcPr>
            <w:tcW w:w="9322" w:type="dxa"/>
            <w:gridSpan w:val="9"/>
            <w:shd w:val="clear" w:color="auto" w:fill="4F81BD"/>
            <w:vAlign w:val="center"/>
          </w:tcPr>
          <w:p w:rsidR="00AD14E0" w:rsidRPr="00CD03BD" w:rsidRDefault="00AD14E0" w:rsidP="00786F3F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AD14E0" w:rsidRPr="00CD03BD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Citronensäure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- Monohydrat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D14E0" w:rsidRPr="00CD03BD" w:rsidRDefault="00AD14E0" w:rsidP="00786F3F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>H:</w:t>
            </w:r>
            <w:r>
              <w:t xml:space="preserve"> 318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D14E0" w:rsidRPr="00CD03BD" w:rsidRDefault="00AD14E0" w:rsidP="00786F3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305+351+338, 311</w:t>
            </w:r>
          </w:p>
        </w:tc>
      </w:tr>
      <w:tr w:rsidR="00AD14E0" w:rsidRPr="00CD03BD" w:rsidTr="00786F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0" name="Grafik 10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9" name="Grafik 9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3" name="Grafik 3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14E0" w:rsidRPr="00CD03BD" w:rsidRDefault="00AD14E0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4E0" w:rsidRPr="00F274F1" w:rsidRDefault="00AD14E0" w:rsidP="00AD14E0">
      <w:pPr>
        <w:tabs>
          <w:tab w:val="left" w:pos="1701"/>
          <w:tab w:val="left" w:pos="1985"/>
        </w:tabs>
        <w:ind w:left="1980" w:hanging="1980"/>
      </w:pPr>
    </w:p>
    <w:p w:rsidR="00AD14E0" w:rsidRDefault="00AD14E0" w:rsidP="00AD14E0">
      <w:pPr>
        <w:tabs>
          <w:tab w:val="left" w:pos="1701"/>
          <w:tab w:val="left" w:pos="1985"/>
        </w:tabs>
        <w:ind w:left="1980" w:hanging="1980"/>
      </w:pPr>
      <w:r w:rsidRPr="00F274F1">
        <w:t xml:space="preserve">Materialien: </w:t>
      </w:r>
      <w:r w:rsidRPr="00F274F1">
        <w:tab/>
      </w:r>
      <w:r w:rsidRPr="00F274F1">
        <w:tab/>
      </w:r>
      <w:r>
        <w:t>Uhrglas, Spatel, Indikatorpapier</w:t>
      </w:r>
    </w:p>
    <w:p w:rsidR="00AD14E0" w:rsidRPr="00ED07C2" w:rsidRDefault="00AD14E0" w:rsidP="00AD14E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Citronensäure</w:t>
      </w:r>
      <w:proofErr w:type="spellEnd"/>
      <w:r>
        <w:t xml:space="preserve">, </w:t>
      </w:r>
      <w:proofErr w:type="spellStart"/>
      <w:r>
        <w:t>dest</w:t>
      </w:r>
      <w:proofErr w:type="spellEnd"/>
      <w:r>
        <w:t>. Wasser</w:t>
      </w:r>
    </w:p>
    <w:p w:rsidR="00AD14E0" w:rsidRDefault="00AD14E0" w:rsidP="00AD14E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Zunächst wird ein Spatel Zitronensäurepulver auf das Uhrglas gegeben und mit Indikatorpapier auf den pH-Wert untersucht. Anschließend wird das Pulver in </w:t>
      </w:r>
      <w:proofErr w:type="spellStart"/>
      <w:r>
        <w:t>dest</w:t>
      </w:r>
      <w:proofErr w:type="spellEnd"/>
      <w:r>
        <w:t>. Wasser gelöst und wiederum mit dem Indikatorpapier untersucht.</w:t>
      </w:r>
    </w:p>
    <w:p w:rsidR="00AD14E0" w:rsidRDefault="00AD14E0" w:rsidP="00AD14E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Das Pulver färbt das Indikatorpapier nicht. Erst die Lösung zeigt ein rotes Indikatorpapier an. </w:t>
      </w:r>
    </w:p>
    <w:p w:rsidR="00AD14E0" w:rsidRDefault="00AD14E0" w:rsidP="00AD14E0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248025" cy="1952625"/>
            <wp:effectExtent l="0" t="0" r="9525" b="9525"/>
            <wp:docPr id="1" name="Grafik 1" descr="Citronensä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tronensä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E0" w:rsidRPr="00EF283A" w:rsidRDefault="00AD14E0" w:rsidP="00AD14E0">
      <w:pPr>
        <w:pStyle w:val="Beschriftung"/>
        <w:jc w:val="center"/>
        <w:rPr>
          <w:noProof/>
        </w:rPr>
      </w:pPr>
      <w:r>
        <w:t xml:space="preserve">Abb. 5 - </w:t>
      </w:r>
      <w:r>
        <w:rPr>
          <w:noProof/>
        </w:rPr>
        <w:t xml:space="preserve"> Indikatorpapier vorher und nachher</w:t>
      </w:r>
    </w:p>
    <w:p w:rsidR="00AD14E0" w:rsidRDefault="00AD14E0" w:rsidP="00AD14E0">
      <w:pPr>
        <w:tabs>
          <w:tab w:val="left" w:pos="1985"/>
        </w:tabs>
        <w:ind w:left="1985" w:hanging="1985"/>
      </w:pPr>
      <w:r>
        <w:lastRenderedPageBreak/>
        <w:t>Deutung:</w:t>
      </w:r>
      <w:r>
        <w:tab/>
        <w:t>Nach Arrhenius sind Säuren Stoffe, die in wässrigen Lösungen H</w:t>
      </w:r>
      <w:r>
        <w:rPr>
          <w:vertAlign w:val="superscript"/>
        </w:rPr>
        <w:t>+</w:t>
      </w:r>
      <w:r>
        <w:t>-Ionen bilden. Diese Reaktion bestätigt der Versuch:</w:t>
      </w:r>
    </w:p>
    <w:p w:rsidR="00AD14E0" w:rsidRPr="00AD14E0" w:rsidRDefault="00AD14E0" w:rsidP="00AD14E0">
      <w:pPr>
        <w:tabs>
          <w:tab w:val="left" w:pos="1985"/>
        </w:tabs>
        <w:ind w:left="1985" w:hanging="1985"/>
        <w:rPr>
          <w:vertAlign w:val="subscript"/>
        </w:rPr>
      </w:pPr>
      <w:r>
        <w:tab/>
      </w:r>
      <w:r w:rsidRPr="00AD14E0">
        <w:t>C</w:t>
      </w:r>
      <w:r w:rsidRPr="00AD14E0">
        <w:rPr>
          <w:vertAlign w:val="subscript"/>
        </w:rPr>
        <w:t>5</w:t>
      </w:r>
      <w:r w:rsidRPr="00AD14E0">
        <w:t>H</w:t>
      </w:r>
      <w:r w:rsidRPr="00AD14E0">
        <w:rPr>
          <w:vertAlign w:val="subscript"/>
        </w:rPr>
        <w:t>7</w:t>
      </w:r>
      <w:r w:rsidRPr="00AD14E0">
        <w:t>O</w:t>
      </w:r>
      <w:r w:rsidRPr="00AD14E0">
        <w:rPr>
          <w:vertAlign w:val="subscript"/>
        </w:rPr>
        <w:t>5</w:t>
      </w:r>
      <w:r w:rsidRPr="00AD14E0">
        <w:t>-COOH</w:t>
      </w:r>
      <w:r w:rsidRPr="00AD14E0">
        <w:rPr>
          <w:vertAlign w:val="subscript"/>
        </w:rPr>
        <w:t>(s)</w:t>
      </w:r>
      <w:r w:rsidRPr="00AD14E0">
        <w:t xml:space="preserve"> + H</w:t>
      </w:r>
      <w:r w:rsidRPr="00AD14E0">
        <w:rPr>
          <w:vertAlign w:val="subscript"/>
        </w:rPr>
        <w:t>2</w:t>
      </w:r>
      <w:r w:rsidRPr="00AD14E0">
        <w:t>O</w:t>
      </w:r>
      <w:r w:rsidRPr="00AD14E0">
        <w:rPr>
          <w:vertAlign w:val="subscript"/>
        </w:rPr>
        <w:t>(l)</w:t>
      </w:r>
      <w:r w:rsidRPr="00AD14E0">
        <w:t xml:space="preserve"> → C</w:t>
      </w:r>
      <w:r w:rsidRPr="00AD14E0">
        <w:rPr>
          <w:vertAlign w:val="subscript"/>
        </w:rPr>
        <w:t>5</w:t>
      </w:r>
      <w:r w:rsidRPr="00AD14E0">
        <w:t>H</w:t>
      </w:r>
      <w:r w:rsidRPr="00AD14E0">
        <w:rPr>
          <w:vertAlign w:val="subscript"/>
        </w:rPr>
        <w:t>7</w:t>
      </w:r>
      <w:r w:rsidRPr="00AD14E0">
        <w:t>O</w:t>
      </w:r>
      <w:r w:rsidRPr="00AD14E0">
        <w:rPr>
          <w:vertAlign w:val="subscript"/>
        </w:rPr>
        <w:t>5</w:t>
      </w:r>
      <w:r w:rsidRPr="00AD14E0">
        <w:t>-COO</w:t>
      </w:r>
      <w:r w:rsidRPr="00AD14E0">
        <w:rPr>
          <w:vertAlign w:val="superscript"/>
        </w:rPr>
        <w:t>-</w:t>
      </w:r>
      <w:r w:rsidRPr="00AD14E0">
        <w:rPr>
          <w:vertAlign w:val="subscript"/>
        </w:rPr>
        <w:t>(</w:t>
      </w:r>
      <w:proofErr w:type="spellStart"/>
      <w:r w:rsidRPr="00AD14E0">
        <w:rPr>
          <w:vertAlign w:val="subscript"/>
        </w:rPr>
        <w:t>aq</w:t>
      </w:r>
      <w:proofErr w:type="spellEnd"/>
      <w:r w:rsidRPr="00AD14E0">
        <w:rPr>
          <w:vertAlign w:val="subscript"/>
        </w:rPr>
        <w:t>)</w:t>
      </w:r>
      <w:r w:rsidRPr="00AD14E0">
        <w:t xml:space="preserve"> + H</w:t>
      </w:r>
      <w:r w:rsidRPr="00AD14E0">
        <w:rPr>
          <w:vertAlign w:val="superscript"/>
        </w:rPr>
        <w:t>+</w:t>
      </w:r>
      <w:r w:rsidRPr="00AD14E0">
        <w:rPr>
          <w:vertAlign w:val="subscript"/>
        </w:rPr>
        <w:t>(</w:t>
      </w:r>
      <w:proofErr w:type="spellStart"/>
      <w:r w:rsidRPr="00AD14E0">
        <w:rPr>
          <w:vertAlign w:val="subscript"/>
        </w:rPr>
        <w:t>aq</w:t>
      </w:r>
      <w:proofErr w:type="spellEnd"/>
      <w:r w:rsidRPr="00AD14E0">
        <w:rPr>
          <w:vertAlign w:val="subscript"/>
        </w:rPr>
        <w:t>)</w:t>
      </w:r>
    </w:p>
    <w:p w:rsidR="00AD14E0" w:rsidRPr="0050141D" w:rsidRDefault="00AD14E0" w:rsidP="00AD14E0">
      <w:pPr>
        <w:tabs>
          <w:tab w:val="left" w:pos="1985"/>
        </w:tabs>
        <w:ind w:left="1985" w:hanging="1985"/>
      </w:pPr>
      <w:r w:rsidRPr="00AD14E0">
        <w:tab/>
      </w:r>
      <w:r>
        <w:t>Die H</w:t>
      </w:r>
      <w:r>
        <w:rPr>
          <w:vertAlign w:val="superscript"/>
        </w:rPr>
        <w:t>+</w:t>
      </w:r>
      <w:r>
        <w:t>-Ionen werden durch das Indikatorpapier nachgewiesen.</w:t>
      </w:r>
    </w:p>
    <w:p w:rsidR="00AD14E0" w:rsidRPr="00CD03BD" w:rsidRDefault="00AD14E0" w:rsidP="00AD14E0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Entsorgung:</w:t>
      </w:r>
      <w:r>
        <w:tab/>
      </w:r>
      <w:r>
        <w:tab/>
      </w:r>
      <w:r>
        <w:tab/>
        <w:t>Die Lösung kann in den Abfluss entsorgt werden.</w:t>
      </w:r>
    </w:p>
    <w:p w:rsidR="00AD14E0" w:rsidRPr="002631D7" w:rsidRDefault="00AD14E0" w:rsidP="00AD14E0">
      <w:pPr>
        <w:spacing w:line="276" w:lineRule="auto"/>
        <w:ind w:left="1985" w:hanging="1985"/>
        <w:rPr>
          <w:noProof/>
        </w:rPr>
      </w:pPr>
      <w:r>
        <w:t>Literatur:</w:t>
      </w:r>
      <w:r>
        <w:tab/>
      </w:r>
      <w:proofErr w:type="spellStart"/>
      <w:r>
        <w:t>Munder</w:t>
      </w:r>
      <w:proofErr w:type="spellEnd"/>
      <w:r>
        <w:t>, J</w:t>
      </w:r>
      <w:proofErr w:type="gramStart"/>
      <w:r>
        <w:t>..</w:t>
      </w:r>
      <w:proofErr w:type="gramEnd"/>
      <w:r>
        <w:t xml:space="preserve"> (2010): </w:t>
      </w:r>
      <w:r>
        <w:rPr>
          <w:i/>
        </w:rPr>
        <w:t xml:space="preserve">Vergleich der Säure-Base-Konzepte von Arrhenius und </w:t>
      </w:r>
      <w:proofErr w:type="spellStart"/>
      <w:r>
        <w:rPr>
          <w:i/>
        </w:rPr>
        <w:t>Brönstedt</w:t>
      </w:r>
      <w:proofErr w:type="spellEnd"/>
      <w:r>
        <w:rPr>
          <w:i/>
        </w:rPr>
        <w:t xml:space="preserve"> anhand von Beispielen</w:t>
      </w:r>
      <w:r>
        <w:t xml:space="preserve">, abrufbar unter: </w:t>
      </w:r>
      <w:hyperlink r:id="rId16" w:history="1">
        <w:r w:rsidRPr="009F444E">
          <w:rPr>
            <w:rStyle w:val="Hyperlink"/>
          </w:rPr>
          <w:t>http://daten.didaktikchemie.uni-bayreuth.de/umat/broensted_arrhenius/ broensted_arrhenius.htm</w:t>
        </w:r>
      </w:hyperlink>
      <w:r>
        <w:t>, eingesehen am 14.8.14.</w:t>
      </w:r>
    </w:p>
    <w:p w:rsidR="00AD14E0" w:rsidRDefault="00AD14E0" w:rsidP="00AD14E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532130"/>
                <wp:effectExtent l="0" t="0" r="13335" b="20320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2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4E0" w:rsidRPr="000D74FF" w:rsidRDefault="00AD14E0" w:rsidP="00AD14E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Versuch eignet sich im Unterricht zur Bestätigung des Säure-Base-Konzeptes nach Arrhenius.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sollte das Konzept bekannt sein.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1" o:spid="_x0000_s1027" type="#_x0000_t202" style="width:462.4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" strokecolor="#c0504d" strokeweight="1pt">
                <v:stroke dashstyle="dash"/>
                <v:shadow color="#868686"/>
                <v:textbox>
                  <w:txbxContent>
                    <w:p w:rsidR="00AD14E0" w:rsidRPr="000D74FF" w:rsidRDefault="00AD14E0" w:rsidP="00AD14E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Der Versuch eignet sich im Unterricht zur Bestätigung des Säure-Base-Konzeptes nach Ar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 xml:space="preserve">henius.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sollte das Konzept bekannt sein.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3E1" w:rsidRDefault="000A13E1"/>
    <w:sectPr w:rsidR="000A1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FE"/>
    <w:rsid w:val="000A13E1"/>
    <w:rsid w:val="008559AA"/>
    <w:rsid w:val="00AD14E0"/>
    <w:rsid w:val="00C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4E0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4E0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14E0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14E0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4E0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4E0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4E0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4E0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4E0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4E0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4E0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14E0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14E0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4E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4E0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4E0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4E0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4E0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4E0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D14E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uiPriority w:val="99"/>
    <w:unhideWhenUsed/>
    <w:rsid w:val="00AD14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E0"/>
    <w:rPr>
      <w:rFonts w:ascii="Tahoma" w:eastAsia="Calibri" w:hAnsi="Tahoma" w:cs="Tahoma"/>
      <w:color w:val="1D1B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4E0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4E0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14E0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14E0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4E0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4E0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4E0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4E0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4E0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4E0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4E0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14E0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14E0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4E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4E0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4E0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4E0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4E0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4E0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D14E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uiPriority w:val="99"/>
    <w:unhideWhenUsed/>
    <w:rsid w:val="00AD14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E0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ten.didaktikchemie.uni-bayreuth.de/umat/broensted_arrhenius/%20broensted_arrhenius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2014-08-26T20:33:00Z</cp:lastPrinted>
  <dcterms:created xsi:type="dcterms:W3CDTF">2014-08-26T11:34:00Z</dcterms:created>
  <dcterms:modified xsi:type="dcterms:W3CDTF">2014-08-26T20:33:00Z</dcterms:modified>
</cp:coreProperties>
</file>