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96823108"/>
    <w:bookmarkStart w:id="1" w:name="_GoBack"/>
    <w:bookmarkEnd w:id="1"/>
    <w:p w:rsidR="00530991" w:rsidRDefault="00530991" w:rsidP="00530991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2971" wp14:editId="0CF0AB0C">
                <wp:simplePos x="0" y="0"/>
                <wp:positionH relativeFrom="column">
                  <wp:posOffset>-635</wp:posOffset>
                </wp:positionH>
                <wp:positionV relativeFrom="paragraph">
                  <wp:posOffset>723265</wp:posOffset>
                </wp:positionV>
                <wp:extent cx="5873115" cy="796290"/>
                <wp:effectExtent l="0" t="0" r="13335" b="2286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0991" w:rsidRPr="00DB0E4E" w:rsidRDefault="00530991" w:rsidP="0053099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die Neutralisation von Natronlauge mit Salzsäure durchgeführt. Die veränderten pH-Werte werden mithilfe eines Universalindikators sichtbar gemacht.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sollten den Umgang mit Indikatorlösungen und die beiden Säure-Base-Theorien 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-.05pt;margin-top:56.95pt;width:462.45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" strokecolor="#4bacc6" strokeweight="1pt">
                <v:stroke dashstyle="dash"/>
                <v:shadow color="#868686"/>
                <v:textbox>
                  <w:txbxContent>
                    <w:p w:rsidR="00530991" w:rsidRPr="00DB0E4E" w:rsidRDefault="00530991" w:rsidP="0053099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die Neutralisation von Natronlauge mit Salzsäure durchgeführt. Die veränderten pH-Werte werden mithilfe eines Universalindikators sichtbar gemacht.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sollten den Umgang mit Indikatorlösungen und die beiden Säure-Base-Theorien ke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>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4</w:t>
      </w:r>
      <w:r w:rsidRPr="00F274F1">
        <w:t xml:space="preserve"> – </w:t>
      </w:r>
      <w:r>
        <w:t>Neutralisation</w:t>
      </w:r>
      <w:bookmarkEnd w:id="0"/>
    </w:p>
    <w:p w:rsidR="00530991" w:rsidRPr="00195ED9" w:rsidRDefault="00530991" w:rsidP="0053099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30991" w:rsidRPr="00CD03BD" w:rsidTr="00786F3F">
        <w:tc>
          <w:tcPr>
            <w:tcW w:w="9322" w:type="dxa"/>
            <w:gridSpan w:val="9"/>
            <w:shd w:val="clear" w:color="auto" w:fill="4F81BD"/>
            <w:vAlign w:val="center"/>
          </w:tcPr>
          <w:p w:rsidR="00530991" w:rsidRPr="00CD03BD" w:rsidRDefault="00530991" w:rsidP="00786F3F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530991" w:rsidRPr="00CD03BD" w:rsidTr="00786F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530991" w:rsidRPr="00CD03BD" w:rsidRDefault="00530991" w:rsidP="00786F3F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>H:</w:t>
            </w:r>
            <w:r>
              <w:t xml:space="preserve"> /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30991" w:rsidRPr="00CD03BD" w:rsidRDefault="00530991" w:rsidP="00786F3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/</w:t>
            </w:r>
          </w:p>
        </w:tc>
      </w:tr>
      <w:tr w:rsidR="00530991" w:rsidRPr="00CD03BD" w:rsidTr="00786F3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11" name="Grafik 11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10" name="Grafik 10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4" name="Grafik 4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30991" w:rsidRPr="00CD03BD" w:rsidRDefault="00530991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991" w:rsidRPr="00F274F1" w:rsidRDefault="00530991" w:rsidP="00530991">
      <w:pPr>
        <w:tabs>
          <w:tab w:val="left" w:pos="1701"/>
          <w:tab w:val="left" w:pos="1985"/>
        </w:tabs>
        <w:ind w:left="1980" w:hanging="1980"/>
      </w:pPr>
    </w:p>
    <w:p w:rsidR="00530991" w:rsidRDefault="00530991" w:rsidP="00530991">
      <w:pPr>
        <w:tabs>
          <w:tab w:val="left" w:pos="1701"/>
          <w:tab w:val="left" w:pos="1985"/>
        </w:tabs>
        <w:ind w:left="1980" w:hanging="1980"/>
      </w:pPr>
      <w:r w:rsidRPr="00F274F1">
        <w:t xml:space="preserve">Materialien: </w:t>
      </w:r>
      <w:r w:rsidRPr="00F274F1">
        <w:tab/>
      </w:r>
      <w:r w:rsidRPr="00F274F1">
        <w:tab/>
      </w:r>
      <w:r>
        <w:t>Magnetrührer, Rührfisch, 3x 100 ml Becherglas, 250 ml Becherglas, Messpipette, Messzylinder, Spatel</w:t>
      </w:r>
    </w:p>
    <w:p w:rsidR="00530991" w:rsidRPr="00ED07C2" w:rsidRDefault="00530991" w:rsidP="0053099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0,1 M Salzsäure, 0,1 M Natronlauge, Universalindikator, </w:t>
      </w:r>
      <w:proofErr w:type="spellStart"/>
      <w:r>
        <w:t>Kaliumdihydrogenphosphat</w:t>
      </w:r>
      <w:proofErr w:type="spellEnd"/>
      <w:r>
        <w:t xml:space="preserve">, </w:t>
      </w:r>
      <w:proofErr w:type="spellStart"/>
      <w:r>
        <w:t>Dinatriumhydrogenphosphat</w:t>
      </w:r>
      <w:proofErr w:type="spellEnd"/>
      <w:r>
        <w:t xml:space="preserve">, </w:t>
      </w:r>
      <w:proofErr w:type="spellStart"/>
      <w:r>
        <w:t>dest</w:t>
      </w:r>
      <w:proofErr w:type="spellEnd"/>
      <w:r>
        <w:t>. Wasser</w:t>
      </w:r>
    </w:p>
    <w:p w:rsidR="00530991" w:rsidRDefault="00530991" w:rsidP="0053099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werden jeweils 20 ml 0,1 M Salzsäure und 20 ml 0,1 M Natronlauge mithilfe der Messpipette und des Messzylinders abgemessen und jeweils in ein 100 ml Becherglas gegeben. Anschließend wird Universalindikator hinzugegeben. Die Pufferlösung wird mit 3,52 g </w:t>
      </w:r>
      <w:proofErr w:type="spellStart"/>
      <w:r>
        <w:t>Kaliumdihydrogenphosphat</w:t>
      </w:r>
      <w:proofErr w:type="spellEnd"/>
      <w:r>
        <w:t xml:space="preserve">, 7,26 g </w:t>
      </w:r>
      <w:proofErr w:type="spellStart"/>
      <w:r>
        <w:t>Dinatriumhydrogenphosphat</w:t>
      </w:r>
      <w:proofErr w:type="spellEnd"/>
      <w:r>
        <w:t xml:space="preserve"> und 100 ml </w:t>
      </w:r>
      <w:proofErr w:type="spellStart"/>
      <w:r>
        <w:t>dest</w:t>
      </w:r>
      <w:proofErr w:type="spellEnd"/>
      <w:r>
        <w:t xml:space="preserve">. Wasser hergestellt. Davon werden 2 ml in die Salzsäurelösung und die Natronlaugenlösung gegeben. Die beiden Lösungen werden in ein Becherglas gegeben, welches auf dem Magnetrührer mit Rührfisch steht. </w:t>
      </w:r>
    </w:p>
    <w:p w:rsidR="00530991" w:rsidRDefault="00530991" w:rsidP="0053099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Bei Zugabe von Universalindikator färbt sich die Salzsäure pink und die Natronlauge lila. Nach der Neutralisation liegt eine grüne Lösung vor.</w:t>
      </w:r>
    </w:p>
    <w:p w:rsidR="00530991" w:rsidRDefault="00530991" w:rsidP="00530991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inline distT="0" distB="0" distL="0" distR="0">
            <wp:extent cx="2647950" cy="1590675"/>
            <wp:effectExtent l="0" t="0" r="0" b="9525"/>
            <wp:docPr id="2" name="Grafik 2" descr="SalzsäureNatronl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lzsäureNatronlau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rPr>
          <w:noProof/>
          <w:lang w:eastAsia="de-DE"/>
        </w:rPr>
        <w:drawing>
          <wp:inline distT="0" distB="0" distL="0" distR="0">
            <wp:extent cx="2686050" cy="1619250"/>
            <wp:effectExtent l="0" t="0" r="0" b="0"/>
            <wp:docPr id="1" name="Grafik 1" descr="Neutra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utralisa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91" w:rsidRPr="00EF283A" w:rsidRDefault="00530991" w:rsidP="00530991">
      <w:pPr>
        <w:pStyle w:val="Beschriftung"/>
        <w:jc w:val="left"/>
        <w:rPr>
          <w:noProof/>
        </w:rPr>
      </w:pPr>
      <w:r>
        <w:t xml:space="preserve">Abb. 6 - </w:t>
      </w:r>
      <w:r>
        <w:rPr>
          <w:noProof/>
        </w:rPr>
        <w:t xml:space="preserve"> Base und Säure vorher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Abb. 7  Neutralisation </w:t>
      </w:r>
    </w:p>
    <w:p w:rsidR="00530991" w:rsidRPr="00C74747" w:rsidRDefault="00530991" w:rsidP="00530991">
      <w:pPr>
        <w:tabs>
          <w:tab w:val="left" w:pos="1985"/>
        </w:tabs>
        <w:ind w:left="1980" w:hanging="1980"/>
      </w:pPr>
      <w:r>
        <w:t>Deutung:</w:t>
      </w:r>
      <w:r>
        <w:tab/>
      </w:r>
      <w:r>
        <w:tab/>
        <w:t>Im ersten Teil des Versuchs dissoziieren die Natronlauge und die Salzsäure in ihre Ionen, so dass bei der Natronlauge die OH</w:t>
      </w:r>
      <w:r>
        <w:rPr>
          <w:vertAlign w:val="superscript"/>
        </w:rPr>
        <w:t>-</w:t>
      </w:r>
      <w:r>
        <w:t xml:space="preserve"> - Ionen und bei der Salzsäure die H</w:t>
      </w:r>
      <w:r>
        <w:rPr>
          <w:vertAlign w:val="superscript"/>
        </w:rPr>
        <w:t>+</w:t>
      </w:r>
      <w:r>
        <w:t xml:space="preserve">-Ionen mit dem Indikator nachgewiesen werden. Dies lässt sich noch mit dem Arrhenius-Konzept erklären. Die nachfolgende Neutralisation wird hingegen mit dem </w:t>
      </w:r>
      <w:proofErr w:type="spellStart"/>
      <w:r>
        <w:t>Brönstedt</w:t>
      </w:r>
      <w:proofErr w:type="spellEnd"/>
      <w:r>
        <w:t>-Konzept bewiesen.</w:t>
      </w:r>
    </w:p>
    <w:p w:rsidR="00530991" w:rsidRDefault="00530991" w:rsidP="00530991">
      <w:pPr>
        <w:tabs>
          <w:tab w:val="left" w:pos="1985"/>
        </w:tabs>
        <w:ind w:left="1980" w:hanging="1980"/>
      </w:pPr>
      <w:r>
        <w:tab/>
        <w:t xml:space="preserve">Die Hydroxidionen der Natronlauge reagieren mit den </w:t>
      </w:r>
      <w:proofErr w:type="spellStart"/>
      <w:r>
        <w:t>Wasserstoffionen</w:t>
      </w:r>
      <w:proofErr w:type="spellEnd"/>
      <w:r>
        <w:t xml:space="preserve"> der Salzsäure zu Wasser. Da Salzsäure und Natronlauge vollständig dissoziieren und gleiche Stoffmengen verwendet wurden, liegt die gleiche Anzahl an H</w:t>
      </w:r>
      <w:r>
        <w:rPr>
          <w:vertAlign w:val="superscript"/>
        </w:rPr>
        <w:t xml:space="preserve">+ </w:t>
      </w:r>
      <w:r>
        <w:t>- und OH</w:t>
      </w:r>
      <w:r>
        <w:rPr>
          <w:vertAlign w:val="superscript"/>
        </w:rPr>
        <w:t>-</w:t>
      </w:r>
      <w:r>
        <w:t xml:space="preserve"> - Ionen vor. Daher ist die Lösung anschließend neutral.</w:t>
      </w:r>
    </w:p>
    <w:p w:rsidR="00530991" w:rsidRPr="005043A9" w:rsidRDefault="00530991" w:rsidP="00530991">
      <w:pPr>
        <w:tabs>
          <w:tab w:val="left" w:pos="1985"/>
        </w:tabs>
        <w:ind w:left="1701" w:hanging="1701"/>
        <w:rPr>
          <w:vertAlign w:val="subscript"/>
        </w:rPr>
      </w:pPr>
      <w:r>
        <w:tab/>
      </w:r>
      <w:r>
        <w:tab/>
        <w:t>Na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OH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Cl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→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+ Na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Cl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530991" w:rsidRPr="00CD03BD" w:rsidRDefault="00530991" w:rsidP="00530991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>Entsorgung:</w:t>
      </w:r>
      <w:r>
        <w:tab/>
      </w:r>
      <w:r>
        <w:tab/>
        <w:t>Die neutralisierte Lösung kann in den Abfluss entsorgt werden.</w:t>
      </w:r>
    </w:p>
    <w:p w:rsidR="00530991" w:rsidRDefault="00530991" w:rsidP="00530991">
      <w:pPr>
        <w:spacing w:line="276" w:lineRule="auto"/>
        <w:ind w:left="1985" w:hanging="1985"/>
        <w:rPr>
          <w:noProof/>
        </w:rPr>
      </w:pPr>
      <w:r>
        <w:t xml:space="preserve">Literatur: </w:t>
      </w:r>
      <w:r>
        <w:tab/>
      </w:r>
      <w:r>
        <w:rPr>
          <w:noProof/>
        </w:rPr>
        <w:t xml:space="preserve">Häusler, K. et al.(1995): </w:t>
      </w:r>
      <w:r>
        <w:rPr>
          <w:i/>
          <w:noProof/>
        </w:rPr>
        <w:t>Experimente für den Chemieunterricht</w:t>
      </w:r>
      <w:r>
        <w:rPr>
          <w:noProof/>
        </w:rPr>
        <w:t>, München: Oldenbourg, S. 119 f.</w:t>
      </w:r>
    </w:p>
    <w:p w:rsidR="00530991" w:rsidRPr="001F6A3E" w:rsidRDefault="00530991" w:rsidP="00530991">
      <w:pPr>
        <w:spacing w:line="276" w:lineRule="auto"/>
        <w:ind w:left="1985" w:hanging="5"/>
        <w:rPr>
          <w:rFonts w:eastAsia="MS Gothic"/>
          <w:b/>
          <w:bCs/>
          <w:sz w:val="28"/>
          <w:szCs w:val="28"/>
        </w:rPr>
      </w:pPr>
      <w:r w:rsidRPr="00F62F29">
        <w:t>Seilnacht, T. (</w:t>
      </w:r>
      <w:proofErr w:type="spellStart"/>
      <w:r w:rsidRPr="00F62F29">
        <w:t>o.A.</w:t>
      </w:r>
      <w:proofErr w:type="spellEnd"/>
      <w:r w:rsidRPr="00F62F29">
        <w:t xml:space="preserve">): </w:t>
      </w:r>
      <w:r>
        <w:rPr>
          <w:i/>
        </w:rPr>
        <w:t>Neutralisation</w:t>
      </w:r>
      <w:r w:rsidRPr="00F62F29">
        <w:t>, abru</w:t>
      </w:r>
      <w:r>
        <w:t xml:space="preserve">fbar unter: </w:t>
      </w:r>
      <w:hyperlink w:history="1">
        <w:r w:rsidRPr="009F444E">
          <w:rPr>
            <w:rStyle w:val="Hyperlink"/>
          </w:rPr>
          <w:t xml:space="preserve">http://www.seilnacht. </w:t>
        </w:r>
        <w:proofErr w:type="spellStart"/>
        <w:r w:rsidRPr="009F444E">
          <w:rPr>
            <w:rStyle w:val="Hyperlink"/>
          </w:rPr>
          <w:t>com</w:t>
        </w:r>
        <w:proofErr w:type="spellEnd"/>
        <w:r w:rsidRPr="009F444E">
          <w:rPr>
            <w:rStyle w:val="Hyperlink"/>
          </w:rPr>
          <w:t>/Lexikon/Neutrali.htm</w:t>
        </w:r>
      </w:hyperlink>
      <w:r>
        <w:t>l, eingesehen am 14</w:t>
      </w:r>
      <w:r w:rsidRPr="00F62F29">
        <w:t>.8.2014.</w:t>
      </w:r>
    </w:p>
    <w:p w:rsidR="00530991" w:rsidRPr="00F274F1" w:rsidRDefault="00530991" w:rsidP="00530991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489075"/>
                <wp:effectExtent l="0" t="0" r="13335" b="15875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8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0991" w:rsidRPr="000D74FF" w:rsidRDefault="00530991" w:rsidP="0053099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eignet sich im Unterricht, um das Arrhenius -, sowie das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Brönstedt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– Konzept zu erklären. Im ersten Teil kann die Theorie von Arrhenius angewandt werden. Im zweiten Teil (die Neutralisation) muss allerdings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Brönstedt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-Theorie hinzugezogen werden. Da es sich um geringe Konzentrationen handelt, dürfen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diesen Versuch durchführen. Allerdings wird bei der Neutralisation für einen guten sichtbaren Effekt ein Puffer benötigt. Dies könnte ein anschließendes Unterrichtsthema darstellen.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2" o:spid="_x0000_s1027" type="#_x0000_t202" style="width:462.45pt;height:1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" strokecolor="#c0504d" strokeweight="1pt">
                <v:stroke dashstyle="dash"/>
                <v:shadow color="#868686"/>
                <v:textbox>
                  <w:txbxContent>
                    <w:p w:rsidR="00530991" w:rsidRPr="000D74FF" w:rsidRDefault="00530991" w:rsidP="0053099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Dieser Versuch eignet sich im Unterricht, um das Arrhenius -, sowie das </w:t>
                      </w:r>
                      <w:proofErr w:type="spellStart"/>
                      <w:r>
                        <w:rPr>
                          <w:color w:val="auto"/>
                        </w:rPr>
                        <w:t>Brönstedt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– Konzept zu erklären. Im ersten Teil kann die Theorie von Arrhenius angewandt werden. Im zweiten Teil (die Neutralisation) muss allerdings die </w:t>
                      </w:r>
                      <w:proofErr w:type="spellStart"/>
                      <w:r>
                        <w:rPr>
                          <w:color w:val="auto"/>
                        </w:rPr>
                        <w:t>Brönstedt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-Theorie hinzugezogen werden. Da es sich um geringe Konzentrationen handelt, dürfen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diesen Versuch durchführen. Allerdings wird bei der Neutralisation für einen guten sichtbaren Effekt ein Puffer benötigt. Dies könnte ein anschließendes Unterrichtsthema darstellen.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3E1" w:rsidRDefault="000A13E1"/>
    <w:sectPr w:rsidR="000A1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DF"/>
    <w:rsid w:val="000A13E1"/>
    <w:rsid w:val="00530991"/>
    <w:rsid w:val="00AC4CA5"/>
    <w:rsid w:val="00D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991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0991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0991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0991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0991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0991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0991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0991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0991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0991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0991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0991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0991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0991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0991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0991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0991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0991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0991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30991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uiPriority w:val="99"/>
    <w:unhideWhenUsed/>
    <w:rsid w:val="0053099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991"/>
    <w:rPr>
      <w:rFonts w:ascii="Tahoma" w:eastAsia="Calibri" w:hAnsi="Tahoma" w:cs="Tahoma"/>
      <w:color w:val="1D1B1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991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0991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0991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0991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0991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0991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0991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0991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0991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0991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0991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0991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0991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0991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0991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0991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0991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0991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0991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30991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uiPriority w:val="99"/>
    <w:unhideWhenUsed/>
    <w:rsid w:val="0053099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991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2014-08-26T20:34:00Z</cp:lastPrinted>
  <dcterms:created xsi:type="dcterms:W3CDTF">2014-08-26T11:33:00Z</dcterms:created>
  <dcterms:modified xsi:type="dcterms:W3CDTF">2014-08-26T20:34:00Z</dcterms:modified>
</cp:coreProperties>
</file>