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6D" w:rsidRPr="006B101D" w:rsidRDefault="009B496D" w:rsidP="009B496D">
      <w:pPr>
        <w:pStyle w:val="berschrift1"/>
        <w:numPr>
          <w:ilvl w:val="0"/>
          <w:numId w:val="0"/>
        </w:numPr>
        <w:ind w:left="432" w:hanging="432"/>
      </w:pPr>
      <w:bookmarkStart w:id="0" w:name="_Toc396306004"/>
      <w:r>
        <w:t>V 3 – Bildung von Salzen aus Metallen und Säuren</w:t>
      </w:r>
      <w:bookmarkEnd w:id="0"/>
      <w:r>
        <w:t xml:space="preserve">  </w:t>
      </w:r>
    </w:p>
    <w:p w:rsidR="009B496D" w:rsidRDefault="009B496D" w:rsidP="009B496D">
      <w:pPr>
        <w:tabs>
          <w:tab w:val="left" w:pos="1701"/>
          <w:tab w:val="left" w:pos="1985"/>
        </w:tabs>
        <w:ind w:left="1980" w:hanging="1980"/>
        <w:rPr>
          <w:b/>
        </w:rPr>
      </w:pPr>
      <w:r w:rsidRPr="006968A8">
        <w:rPr>
          <w:noProof/>
          <w:lang w:eastAsia="de-DE"/>
        </w:rPr>
        <w:pict>
          <v:shapetype id="_x0000_t202" coordsize="21600,21600" o:spt="202" path="m,l,21600r21600,l21600,xe">
            <v:stroke joinstyle="miter"/>
            <v:path gradientshapeok="t" o:connecttype="rect"/>
          </v:shapetype>
          <v:shape id="_x0000_s1051" type="#_x0000_t202" style="position:absolute;left:0;text-align:left;margin-left:-8.9pt;margin-top:4.3pt;width:462.45pt;height:156.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style="mso-next-textbox:#_x0000_s1051">
              <w:txbxContent>
                <w:p w:rsidR="009B496D" w:rsidRPr="00B03D8D" w:rsidRDefault="009B496D" w:rsidP="009B496D">
                  <w:r>
                    <w:t xml:space="preserve">In diesem Versuch stellen </w:t>
                  </w:r>
                  <w:proofErr w:type="spellStart"/>
                  <w:r>
                    <w:t>SuS</w:t>
                  </w:r>
                  <w:proofErr w:type="spellEnd"/>
                  <w:r>
                    <w:t xml:space="preserve"> Salze aus Metallen und Salzsäure her. Diese Reaktionen sollen eine weitere Möglichkeit der Salzbildung verdeutlichen und auf die Vielfalt der Salze aufmer</w:t>
                  </w:r>
                  <w:r>
                    <w:t>k</w:t>
                  </w:r>
                  <w:r>
                    <w:t>sam machen. Der Versuch wiederholt auch Trennverfahren, wie Filtrieren und Eindampfen. Der Versuch ist ungefährlich und kann arbeitseinteilig gut in einer Unterrichtsstunde durchg</w:t>
                  </w:r>
                  <w:r>
                    <w:t>e</w:t>
                  </w:r>
                  <w:r>
                    <w:t xml:space="preserve">führt werden. Für diesen Versuch sollten </w:t>
                  </w:r>
                  <w:proofErr w:type="spellStart"/>
                  <w:r>
                    <w:t>SuS</w:t>
                  </w:r>
                  <w:proofErr w:type="spellEnd"/>
                  <w:r>
                    <w:t xml:space="preserve"> mit Metallen und Säuren vertraut sein. Da für den Versuch Filtriergestelle, Bunsenbrenner und Porzellanschalen benötigen werden, müssen diese in ausreichendem Maße vorhanden sein, um den Versuch als Schülerversuch durchführen zu können.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9B496D" w:rsidRPr="00CD03BD" w:rsidTr="00C33915">
        <w:tc>
          <w:tcPr>
            <w:tcW w:w="9322" w:type="dxa"/>
            <w:gridSpan w:val="9"/>
            <w:tcBorders>
              <w:top w:val="single" w:sz="8" w:space="0" w:color="4F81BD"/>
            </w:tcBorders>
            <w:shd w:val="clear" w:color="auto" w:fill="4F81BD"/>
            <w:vAlign w:val="center"/>
          </w:tcPr>
          <w:p w:rsidR="009B496D" w:rsidRPr="00CD03BD" w:rsidRDefault="009B496D" w:rsidP="00C33915">
            <w:pPr>
              <w:spacing w:after="0"/>
              <w:jc w:val="center"/>
              <w:rPr>
                <w:b/>
                <w:bCs/>
              </w:rPr>
            </w:pPr>
            <w:r w:rsidRPr="00CD03BD">
              <w:rPr>
                <w:b/>
                <w:bCs/>
              </w:rPr>
              <w:t>Gefahrenstoffe</w:t>
            </w:r>
          </w:p>
        </w:tc>
      </w:tr>
      <w:tr w:rsidR="009B496D" w:rsidRPr="00CD03BD"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B496D" w:rsidRPr="009C5E28" w:rsidRDefault="009B496D" w:rsidP="00C33915">
            <w:pPr>
              <w:spacing w:after="0" w:line="276" w:lineRule="auto"/>
              <w:jc w:val="center"/>
              <w:rPr>
                <w:bCs/>
                <w:sz w:val="20"/>
              </w:rPr>
            </w:pPr>
            <w:r>
              <w:rPr>
                <w:color w:val="auto"/>
                <w:sz w:val="20"/>
                <w:szCs w:val="20"/>
              </w:rPr>
              <w:t>Zink</w:t>
            </w:r>
          </w:p>
        </w:tc>
        <w:tc>
          <w:tcPr>
            <w:tcW w:w="3177" w:type="dxa"/>
            <w:gridSpan w:val="3"/>
            <w:tcBorders>
              <w:top w:val="single" w:sz="8" w:space="0" w:color="4F81BD"/>
              <w:bottom w:val="single" w:sz="8" w:space="0" w:color="4F81BD"/>
            </w:tcBorders>
            <w:shd w:val="clear" w:color="auto" w:fill="auto"/>
            <w:vAlign w:val="center"/>
          </w:tcPr>
          <w:p w:rsidR="009B496D" w:rsidRPr="009C5E28" w:rsidRDefault="009B496D" w:rsidP="00C33915">
            <w:pPr>
              <w:pStyle w:val="Beschriftung"/>
              <w:spacing w:after="0"/>
              <w:jc w:val="center"/>
              <w:rPr>
                <w:sz w:val="20"/>
              </w:rPr>
            </w:pPr>
            <w:r w:rsidRPr="009C5E28">
              <w:rPr>
                <w:sz w:val="20"/>
              </w:rPr>
              <w:t xml:space="preserve">H: </w:t>
            </w:r>
            <w:r>
              <w:t>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B496D" w:rsidRPr="009C5E28" w:rsidRDefault="009B496D" w:rsidP="00C33915">
            <w:pPr>
              <w:pStyle w:val="Beschriftung"/>
              <w:spacing w:after="0"/>
              <w:jc w:val="center"/>
              <w:rPr>
                <w:sz w:val="20"/>
              </w:rPr>
            </w:pPr>
            <w:r w:rsidRPr="009C5E28">
              <w:rPr>
                <w:sz w:val="20"/>
              </w:rPr>
              <w:t xml:space="preserve">P: </w:t>
            </w:r>
            <w:r>
              <w:t>273</w:t>
            </w:r>
          </w:p>
        </w:tc>
      </w:tr>
      <w:tr w:rsidR="009B496D" w:rsidRPr="00CD03BD"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B496D" w:rsidRDefault="009B496D" w:rsidP="00C33915">
            <w:pPr>
              <w:spacing w:after="0" w:line="276" w:lineRule="auto"/>
              <w:jc w:val="center"/>
              <w:rPr>
                <w:color w:val="auto"/>
                <w:sz w:val="20"/>
                <w:szCs w:val="20"/>
              </w:rPr>
            </w:pPr>
            <w:r>
              <w:rPr>
                <w:color w:val="auto"/>
                <w:sz w:val="20"/>
                <w:szCs w:val="20"/>
              </w:rPr>
              <w:t>Zinkoxid</w:t>
            </w:r>
          </w:p>
        </w:tc>
        <w:tc>
          <w:tcPr>
            <w:tcW w:w="3177" w:type="dxa"/>
            <w:gridSpan w:val="3"/>
            <w:tcBorders>
              <w:top w:val="single" w:sz="8" w:space="0" w:color="4F81BD"/>
              <w:bottom w:val="single" w:sz="8" w:space="0" w:color="4F81BD"/>
            </w:tcBorders>
            <w:shd w:val="clear" w:color="auto" w:fill="auto"/>
            <w:vAlign w:val="center"/>
          </w:tcPr>
          <w:p w:rsidR="009B496D" w:rsidRPr="009C5E28" w:rsidRDefault="009B496D" w:rsidP="00C33915">
            <w:pPr>
              <w:pStyle w:val="Beschriftung"/>
              <w:spacing w:after="0"/>
              <w:jc w:val="center"/>
              <w:rPr>
                <w:sz w:val="20"/>
              </w:rPr>
            </w:pPr>
            <w:r w:rsidRPr="009C5E28">
              <w:rPr>
                <w:sz w:val="20"/>
              </w:rPr>
              <w:t xml:space="preserve">H: </w:t>
            </w:r>
            <w:r>
              <w:t>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B496D" w:rsidRPr="009C5E28" w:rsidRDefault="009B496D" w:rsidP="00C33915">
            <w:pPr>
              <w:pStyle w:val="Beschriftung"/>
              <w:spacing w:after="0"/>
              <w:jc w:val="center"/>
              <w:rPr>
                <w:sz w:val="20"/>
              </w:rPr>
            </w:pPr>
            <w:r w:rsidRPr="009C5E28">
              <w:rPr>
                <w:sz w:val="20"/>
              </w:rPr>
              <w:t xml:space="preserve">P: </w:t>
            </w:r>
            <w:r>
              <w:t>273</w:t>
            </w:r>
          </w:p>
        </w:tc>
      </w:tr>
      <w:tr w:rsidR="009B496D" w:rsidRPr="000A6B8A"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B496D" w:rsidRDefault="009B496D" w:rsidP="00C33915">
            <w:pPr>
              <w:spacing w:after="0" w:line="276" w:lineRule="auto"/>
              <w:jc w:val="center"/>
              <w:rPr>
                <w:color w:val="auto"/>
                <w:sz w:val="20"/>
                <w:szCs w:val="20"/>
              </w:rPr>
            </w:pPr>
            <w:r>
              <w:rPr>
                <w:color w:val="auto"/>
                <w:sz w:val="20"/>
                <w:szCs w:val="20"/>
              </w:rPr>
              <w:t>Kupfer</w:t>
            </w:r>
          </w:p>
        </w:tc>
        <w:tc>
          <w:tcPr>
            <w:tcW w:w="3177" w:type="dxa"/>
            <w:gridSpan w:val="3"/>
            <w:tcBorders>
              <w:top w:val="single" w:sz="8" w:space="0" w:color="4F81BD"/>
              <w:bottom w:val="single" w:sz="8" w:space="0" w:color="4F81BD"/>
            </w:tcBorders>
            <w:shd w:val="clear" w:color="auto" w:fill="auto"/>
            <w:vAlign w:val="center"/>
          </w:tcPr>
          <w:p w:rsidR="009B496D" w:rsidRPr="009C5E28" w:rsidRDefault="009B496D" w:rsidP="00C33915">
            <w:pPr>
              <w:pStyle w:val="Beschriftung"/>
              <w:spacing w:after="0"/>
              <w:jc w:val="center"/>
              <w:rPr>
                <w:sz w:val="20"/>
              </w:rPr>
            </w:pPr>
            <w:r>
              <w:rPr>
                <w:sz w:val="20"/>
              </w:rPr>
              <w:t>H: 228-410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B496D" w:rsidRPr="009C5E28" w:rsidRDefault="009B496D" w:rsidP="00C33915">
            <w:pPr>
              <w:pStyle w:val="Beschriftung"/>
              <w:spacing w:after="0"/>
              <w:jc w:val="center"/>
              <w:rPr>
                <w:sz w:val="20"/>
              </w:rPr>
            </w:pPr>
            <w:r>
              <w:rPr>
                <w:sz w:val="20"/>
              </w:rPr>
              <w:t>P: 210-273</w:t>
            </w:r>
          </w:p>
        </w:tc>
      </w:tr>
      <w:tr w:rsidR="009B496D" w:rsidRPr="000A6B8A"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B496D" w:rsidRDefault="009B496D" w:rsidP="00C33915">
            <w:pPr>
              <w:spacing w:after="0" w:line="276" w:lineRule="auto"/>
              <w:jc w:val="center"/>
              <w:rPr>
                <w:color w:val="auto"/>
                <w:sz w:val="20"/>
                <w:szCs w:val="20"/>
              </w:rPr>
            </w:pPr>
            <w:r>
              <w:rPr>
                <w:color w:val="auto"/>
                <w:sz w:val="20"/>
                <w:szCs w:val="20"/>
              </w:rPr>
              <w:t>Kupferoxid</w:t>
            </w:r>
          </w:p>
        </w:tc>
        <w:tc>
          <w:tcPr>
            <w:tcW w:w="3177" w:type="dxa"/>
            <w:gridSpan w:val="3"/>
            <w:tcBorders>
              <w:top w:val="single" w:sz="8" w:space="0" w:color="4F81BD"/>
              <w:bottom w:val="single" w:sz="8" w:space="0" w:color="4F81BD"/>
            </w:tcBorders>
            <w:shd w:val="clear" w:color="auto" w:fill="auto"/>
            <w:vAlign w:val="center"/>
          </w:tcPr>
          <w:p w:rsidR="009B496D" w:rsidRDefault="009B496D" w:rsidP="00C33915">
            <w:pPr>
              <w:pStyle w:val="Beschriftung"/>
              <w:spacing w:after="0"/>
              <w:jc w:val="center"/>
              <w:rPr>
                <w:sz w:val="20"/>
              </w:rPr>
            </w:pPr>
            <w:r>
              <w:rPr>
                <w:sz w:val="20"/>
              </w:rPr>
              <w:t>H: 302-410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B496D" w:rsidRDefault="009B496D" w:rsidP="00C33915">
            <w:pPr>
              <w:pStyle w:val="Beschriftung"/>
              <w:spacing w:after="0"/>
              <w:jc w:val="center"/>
              <w:rPr>
                <w:sz w:val="20"/>
              </w:rPr>
            </w:pPr>
            <w:r>
              <w:rPr>
                <w:sz w:val="20"/>
              </w:rPr>
              <w:t>P: 260-273</w:t>
            </w:r>
          </w:p>
        </w:tc>
      </w:tr>
      <w:tr w:rsidR="009B496D" w:rsidRPr="00CD03BD" w:rsidTr="00C33915">
        <w:tc>
          <w:tcPr>
            <w:tcW w:w="1009" w:type="dxa"/>
            <w:tcBorders>
              <w:top w:val="single" w:sz="4" w:space="0" w:color="auto"/>
              <w:left w:val="single" w:sz="8" w:space="0" w:color="4F81BD"/>
              <w:bottom w:val="single" w:sz="8" w:space="0" w:color="4F81BD"/>
            </w:tcBorders>
            <w:shd w:val="clear" w:color="auto" w:fill="auto"/>
            <w:vAlign w:val="center"/>
          </w:tcPr>
          <w:p w:rsidR="009B496D" w:rsidRPr="00CD03BD" w:rsidRDefault="009B496D" w:rsidP="00C33915">
            <w:pPr>
              <w:spacing w:after="0"/>
              <w:jc w:val="center"/>
              <w:rPr>
                <w:b/>
                <w:bCs/>
              </w:rPr>
            </w:pPr>
            <w:r w:rsidRPr="00B66F6A">
              <w:rPr>
                <w:b/>
                <w:noProof/>
                <w:lang w:eastAsia="de-DE"/>
              </w:rPr>
              <w:drawing>
                <wp:inline distT="0" distB="0" distL="0" distR="0">
                  <wp:extent cx="503555" cy="503555"/>
                  <wp:effectExtent l="19050" t="0" r="0" b="0"/>
                  <wp:docPr id="168" name="Grafik 106" descr="Explosionsgefah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sionsgefahr (2).png"/>
                          <pic:cNvPicPr/>
                        </pic:nvPicPr>
                        <pic:blipFill>
                          <a:blip r:embed="rId7" cstate="print"/>
                          <a:stretch>
                            <a:fillRect/>
                          </a:stretch>
                        </pic:blipFill>
                        <pic:spPr>
                          <a:xfrm>
                            <a:off x="0" y="0"/>
                            <a:ext cx="503555" cy="503555"/>
                          </a:xfrm>
                          <a:prstGeom prst="rect">
                            <a:avLst/>
                          </a:prstGeom>
                        </pic:spPr>
                      </pic:pic>
                    </a:graphicData>
                  </a:graphic>
                </wp:inline>
              </w:drawing>
            </w:r>
          </w:p>
        </w:tc>
        <w:tc>
          <w:tcPr>
            <w:tcW w:w="1009" w:type="dxa"/>
            <w:tcBorders>
              <w:top w:val="single" w:sz="4" w:space="0" w:color="auto"/>
              <w:bottom w:val="single" w:sz="8" w:space="0" w:color="4F81BD"/>
            </w:tcBorders>
            <w:shd w:val="clear" w:color="auto" w:fill="auto"/>
            <w:vAlign w:val="center"/>
          </w:tcPr>
          <w:p w:rsidR="009B496D" w:rsidRPr="00CD03BD" w:rsidRDefault="009B496D" w:rsidP="00C33915">
            <w:pPr>
              <w:spacing w:after="0"/>
              <w:jc w:val="center"/>
            </w:pPr>
            <w:r>
              <w:rPr>
                <w:noProof/>
                <w:lang w:eastAsia="de-DE"/>
              </w:rPr>
              <w:drawing>
                <wp:inline distT="0" distB="0" distL="0" distR="0">
                  <wp:extent cx="501015" cy="501015"/>
                  <wp:effectExtent l="19050" t="0" r="0" b="0"/>
                  <wp:docPr id="16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009" w:type="dxa"/>
            <w:tcBorders>
              <w:top w:val="single" w:sz="4" w:space="0" w:color="auto"/>
              <w:bottom w:val="single" w:sz="8" w:space="0" w:color="4F81BD"/>
            </w:tcBorders>
            <w:shd w:val="clear" w:color="auto" w:fill="auto"/>
            <w:vAlign w:val="center"/>
          </w:tcPr>
          <w:p w:rsidR="009B496D" w:rsidRPr="00CD03BD" w:rsidRDefault="009B496D" w:rsidP="00C33915">
            <w:pPr>
              <w:spacing w:after="0"/>
              <w:jc w:val="center"/>
            </w:pPr>
            <w:r>
              <w:rPr>
                <w:noProof/>
                <w:lang w:eastAsia="de-DE"/>
              </w:rPr>
              <w:drawing>
                <wp:inline distT="0" distB="0" distL="0" distR="0">
                  <wp:extent cx="503555" cy="503555"/>
                  <wp:effectExtent l="19050" t="0" r="0" b="0"/>
                  <wp:docPr id="170" name="Grafik 4"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9" cstate="print"/>
                          <a:stretch>
                            <a:fillRect/>
                          </a:stretch>
                        </pic:blipFill>
                        <pic:spPr>
                          <a:xfrm>
                            <a:off x="0" y="0"/>
                            <a:ext cx="503555" cy="503555"/>
                          </a:xfrm>
                          <a:prstGeom prst="rect">
                            <a:avLst/>
                          </a:prstGeom>
                        </pic:spPr>
                      </pic:pic>
                    </a:graphicData>
                  </a:graphic>
                </wp:inline>
              </w:drawing>
            </w:r>
          </w:p>
        </w:tc>
        <w:tc>
          <w:tcPr>
            <w:tcW w:w="1009" w:type="dxa"/>
            <w:tcBorders>
              <w:top w:val="single" w:sz="4" w:space="0" w:color="auto"/>
              <w:bottom w:val="single" w:sz="8" w:space="0" w:color="4F81BD"/>
            </w:tcBorders>
            <w:shd w:val="clear" w:color="auto" w:fill="auto"/>
            <w:vAlign w:val="center"/>
          </w:tcPr>
          <w:p w:rsidR="009B496D" w:rsidRPr="000A6B8A" w:rsidRDefault="009B496D" w:rsidP="00C33915">
            <w:pPr>
              <w:spacing w:after="0"/>
              <w:jc w:val="center"/>
              <w:rPr>
                <w:sz w:val="20"/>
                <w:szCs w:val="20"/>
              </w:rPr>
            </w:pPr>
            <w:r w:rsidRPr="000A6B8A">
              <w:rPr>
                <w:noProof/>
                <w:sz w:val="20"/>
                <w:szCs w:val="20"/>
                <w:lang w:eastAsia="de-DE"/>
              </w:rPr>
              <w:drawing>
                <wp:inline distT="0" distB="0" distL="0" distR="0">
                  <wp:extent cx="501015" cy="501015"/>
                  <wp:effectExtent l="19050" t="0" r="0" b="0"/>
                  <wp:docPr id="17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175" w:type="dxa"/>
            <w:tcBorders>
              <w:top w:val="single" w:sz="4" w:space="0" w:color="auto"/>
              <w:bottom w:val="single" w:sz="8" w:space="0" w:color="4F81BD"/>
            </w:tcBorders>
            <w:shd w:val="clear" w:color="auto" w:fill="auto"/>
            <w:vAlign w:val="center"/>
          </w:tcPr>
          <w:p w:rsidR="009B496D" w:rsidRPr="000A6B8A" w:rsidRDefault="009B496D" w:rsidP="00C33915">
            <w:pPr>
              <w:spacing w:after="0"/>
              <w:jc w:val="center"/>
              <w:rPr>
                <w:sz w:val="20"/>
                <w:szCs w:val="20"/>
              </w:rPr>
            </w:pPr>
            <w:r w:rsidRPr="000A6B8A">
              <w:rPr>
                <w:noProof/>
                <w:sz w:val="20"/>
                <w:szCs w:val="20"/>
                <w:lang w:eastAsia="de-DE"/>
              </w:rPr>
              <w:drawing>
                <wp:inline distT="0" distB="0" distL="0" distR="0">
                  <wp:extent cx="501015" cy="501015"/>
                  <wp:effectExtent l="19050" t="0" r="0" b="0"/>
                  <wp:docPr id="17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1"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993" w:type="dxa"/>
            <w:tcBorders>
              <w:top w:val="single" w:sz="4" w:space="0" w:color="auto"/>
              <w:bottom w:val="single" w:sz="8" w:space="0" w:color="4F81BD"/>
            </w:tcBorders>
            <w:shd w:val="clear" w:color="auto" w:fill="auto"/>
            <w:vAlign w:val="center"/>
          </w:tcPr>
          <w:p w:rsidR="009B496D" w:rsidRPr="000A6B8A" w:rsidRDefault="009B496D" w:rsidP="00C33915">
            <w:pPr>
              <w:spacing w:after="0"/>
              <w:jc w:val="center"/>
              <w:rPr>
                <w:sz w:val="20"/>
                <w:szCs w:val="20"/>
              </w:rPr>
            </w:pPr>
            <w:r w:rsidRPr="000A6B8A">
              <w:rPr>
                <w:noProof/>
                <w:sz w:val="20"/>
                <w:szCs w:val="20"/>
                <w:lang w:eastAsia="de-DE"/>
              </w:rPr>
              <w:drawing>
                <wp:inline distT="0" distB="0" distL="0" distR="0">
                  <wp:extent cx="501015" cy="501015"/>
                  <wp:effectExtent l="19050" t="0" r="0" b="0"/>
                  <wp:docPr id="17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975" w:type="dxa"/>
            <w:tcBorders>
              <w:top w:val="single" w:sz="4" w:space="0" w:color="auto"/>
              <w:bottom w:val="single" w:sz="8" w:space="0" w:color="4F81BD"/>
            </w:tcBorders>
            <w:shd w:val="clear" w:color="auto" w:fill="auto"/>
            <w:vAlign w:val="center"/>
          </w:tcPr>
          <w:p w:rsidR="009B496D" w:rsidRPr="000A6B8A" w:rsidRDefault="009B496D" w:rsidP="00C33915">
            <w:pPr>
              <w:spacing w:after="0"/>
              <w:jc w:val="center"/>
              <w:rPr>
                <w:sz w:val="20"/>
                <w:szCs w:val="20"/>
              </w:rPr>
            </w:pPr>
            <w:r w:rsidRPr="00B66F6A">
              <w:rPr>
                <w:noProof/>
                <w:sz w:val="20"/>
                <w:szCs w:val="20"/>
                <w:lang w:eastAsia="de-DE"/>
              </w:rPr>
              <w:drawing>
                <wp:inline distT="0" distB="0" distL="0" distR="0">
                  <wp:extent cx="481965" cy="481965"/>
                  <wp:effectExtent l="19050" t="0" r="0" b="0"/>
                  <wp:docPr id="174" name="Grafik 110" descr="Gift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 (2).png"/>
                          <pic:cNvPicPr/>
                        </pic:nvPicPr>
                        <pic:blipFill>
                          <a:blip r:embed="rId13" cstate="print"/>
                          <a:stretch>
                            <a:fillRect/>
                          </a:stretch>
                        </pic:blipFill>
                        <pic:spPr>
                          <a:xfrm>
                            <a:off x="0" y="0"/>
                            <a:ext cx="481965" cy="481965"/>
                          </a:xfrm>
                          <a:prstGeom prst="rect">
                            <a:avLst/>
                          </a:prstGeom>
                        </pic:spPr>
                      </pic:pic>
                    </a:graphicData>
                  </a:graphic>
                </wp:inline>
              </w:drawing>
            </w:r>
          </w:p>
        </w:tc>
        <w:tc>
          <w:tcPr>
            <w:tcW w:w="1009" w:type="dxa"/>
            <w:tcBorders>
              <w:top w:val="single" w:sz="4" w:space="0" w:color="auto"/>
              <w:bottom w:val="single" w:sz="8" w:space="0" w:color="4F81BD"/>
            </w:tcBorders>
            <w:shd w:val="clear" w:color="auto" w:fill="auto"/>
            <w:vAlign w:val="center"/>
          </w:tcPr>
          <w:p w:rsidR="009B496D" w:rsidRPr="000A6B8A" w:rsidRDefault="009B496D" w:rsidP="00C33915">
            <w:pPr>
              <w:spacing w:after="0"/>
              <w:jc w:val="center"/>
              <w:rPr>
                <w:sz w:val="20"/>
                <w:szCs w:val="20"/>
              </w:rPr>
            </w:pPr>
            <w:r>
              <w:rPr>
                <w:noProof/>
                <w:sz w:val="20"/>
                <w:szCs w:val="20"/>
                <w:lang w:eastAsia="de-DE"/>
              </w:rPr>
              <w:drawing>
                <wp:inline distT="0" distB="0" distL="0" distR="0">
                  <wp:extent cx="503555" cy="503555"/>
                  <wp:effectExtent l="19050" t="0" r="0" b="0"/>
                  <wp:docPr id="175" name="Grafik 6"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4" cstate="print"/>
                          <a:stretch>
                            <a:fillRect/>
                          </a:stretch>
                        </pic:blipFill>
                        <pic:spPr>
                          <a:xfrm>
                            <a:off x="0" y="0"/>
                            <a:ext cx="503555" cy="503555"/>
                          </a:xfrm>
                          <a:prstGeom prst="rect">
                            <a:avLst/>
                          </a:prstGeom>
                        </pic:spPr>
                      </pic:pic>
                    </a:graphicData>
                  </a:graphic>
                </wp:inline>
              </w:drawing>
            </w:r>
          </w:p>
        </w:tc>
        <w:tc>
          <w:tcPr>
            <w:tcW w:w="1134" w:type="dxa"/>
            <w:tcBorders>
              <w:top w:val="single" w:sz="4" w:space="0" w:color="auto"/>
              <w:bottom w:val="single" w:sz="8" w:space="0" w:color="4F81BD"/>
              <w:right w:val="single" w:sz="8" w:space="0" w:color="4F81BD"/>
            </w:tcBorders>
            <w:shd w:val="clear" w:color="auto" w:fill="auto"/>
            <w:vAlign w:val="center"/>
          </w:tcPr>
          <w:p w:rsidR="009B496D" w:rsidRPr="00CD03BD" w:rsidRDefault="009B496D" w:rsidP="00C33915">
            <w:pPr>
              <w:spacing w:after="0"/>
              <w:jc w:val="center"/>
            </w:pPr>
            <w:r>
              <w:rPr>
                <w:noProof/>
                <w:lang w:eastAsia="de-DE"/>
              </w:rPr>
              <w:drawing>
                <wp:inline distT="0" distB="0" distL="0" distR="0">
                  <wp:extent cx="582930" cy="582930"/>
                  <wp:effectExtent l="19050" t="0" r="7620" b="0"/>
                  <wp:docPr id="176" name="Grafik 5"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5" cstate="print"/>
                          <a:stretch>
                            <a:fillRect/>
                          </a:stretch>
                        </pic:blipFill>
                        <pic:spPr>
                          <a:xfrm>
                            <a:off x="0" y="0"/>
                            <a:ext cx="582930" cy="582930"/>
                          </a:xfrm>
                          <a:prstGeom prst="rect">
                            <a:avLst/>
                          </a:prstGeom>
                        </pic:spPr>
                      </pic:pic>
                    </a:graphicData>
                  </a:graphic>
                </wp:inline>
              </w:drawing>
            </w:r>
          </w:p>
        </w:tc>
      </w:tr>
    </w:tbl>
    <w:p w:rsidR="009B496D" w:rsidRDefault="009B496D" w:rsidP="009B496D">
      <w:pPr>
        <w:tabs>
          <w:tab w:val="left" w:pos="1701"/>
          <w:tab w:val="left" w:pos="1985"/>
        </w:tabs>
        <w:rPr>
          <w:b/>
        </w:rPr>
      </w:pPr>
    </w:p>
    <w:p w:rsidR="009B496D" w:rsidRDefault="009B496D" w:rsidP="009B496D">
      <w:pPr>
        <w:tabs>
          <w:tab w:val="left" w:pos="1701"/>
          <w:tab w:val="left" w:pos="1985"/>
        </w:tabs>
        <w:ind w:left="1980" w:hanging="1980"/>
      </w:pPr>
      <w:r>
        <w:t xml:space="preserve">Materialien: </w:t>
      </w:r>
      <w:r>
        <w:tab/>
      </w:r>
      <w:r>
        <w:tab/>
        <w:t xml:space="preserve">4 Reagenzgläser, Reagenzglasständer, Spatel, Trichtergestell, 4 Glastrichter, Filterpapier, 4 Porzellanschalen, Gasbrenner, Dreifuß und Draht </w:t>
      </w:r>
    </w:p>
    <w:p w:rsidR="009B496D" w:rsidRPr="00ED07C2" w:rsidRDefault="009B496D" w:rsidP="009B496D">
      <w:pPr>
        <w:tabs>
          <w:tab w:val="left" w:pos="1701"/>
          <w:tab w:val="left" w:pos="1985"/>
        </w:tabs>
        <w:ind w:left="1980" w:hanging="1980"/>
      </w:pPr>
      <w:r>
        <w:t>Chemikalien:</w:t>
      </w:r>
      <w:r>
        <w:tab/>
      </w:r>
      <w:r>
        <w:tab/>
        <w:t xml:space="preserve">Zinkpulver, Zinkoxid, Kupferpulver, Kupferoxid, Salzsäure (1 </w:t>
      </w:r>
      <w:proofErr w:type="spellStart"/>
      <w:r>
        <w:t>mol</w:t>
      </w:r>
      <w:proofErr w:type="spellEnd"/>
      <w:r>
        <w:t xml:space="preserve">/L) </w:t>
      </w:r>
    </w:p>
    <w:p w:rsidR="009B496D" w:rsidRDefault="009B496D" w:rsidP="009B496D">
      <w:pPr>
        <w:tabs>
          <w:tab w:val="left" w:pos="1701"/>
          <w:tab w:val="left" w:pos="1985"/>
        </w:tabs>
        <w:ind w:left="1980" w:hanging="1980"/>
      </w:pPr>
      <w:r>
        <w:t xml:space="preserve">Durchführung: </w:t>
      </w:r>
      <w:r>
        <w:tab/>
      </w:r>
      <w:r>
        <w:tab/>
        <w:t xml:space="preserve">Alle vier Reagenzgläser werden zu einem Viertel mit 1 molarer Salzsäure gefüllt. Eine </w:t>
      </w:r>
      <w:proofErr w:type="spellStart"/>
      <w:r>
        <w:t>Spatelspitze</w:t>
      </w:r>
      <w:proofErr w:type="spellEnd"/>
      <w:r>
        <w:t xml:space="preserve"> von jedem Metall und Metalloxid wird in je ein Reagenzglas gegeben. An die Öffnung der Reagenzgläser wird ein Glim</w:t>
      </w:r>
      <w:r>
        <w:t>m</w:t>
      </w:r>
      <w:r>
        <w:t>span gehalten. Die Beobachtungen werden protokolliert. Die Lösungen werden filtriert und danach eingedampft. Die Beobachtungen werden d</w:t>
      </w:r>
      <w:r>
        <w:t>o</w:t>
      </w:r>
      <w:r>
        <w:t xml:space="preserve">kumentiert. </w:t>
      </w:r>
    </w:p>
    <w:tbl>
      <w:tblPr>
        <w:tblStyle w:val="Tabellengitternetz"/>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41"/>
      </w:tblGrid>
      <w:tr w:rsidR="009B496D" w:rsidTr="00C33915">
        <w:tc>
          <w:tcPr>
            <w:tcW w:w="6741" w:type="dxa"/>
          </w:tcPr>
          <w:p w:rsidR="009B496D" w:rsidRDefault="009B496D" w:rsidP="00C33915">
            <w:pPr>
              <w:keepNext/>
              <w:tabs>
                <w:tab w:val="left" w:pos="1701"/>
                <w:tab w:val="left" w:pos="1985"/>
              </w:tabs>
              <w:jc w:val="center"/>
            </w:pPr>
            <w:r>
              <w:rPr>
                <w:noProof/>
              </w:rPr>
              <w:lastRenderedPageBreak/>
              <w:drawing>
                <wp:inline distT="0" distB="0" distL="0" distR="0">
                  <wp:extent cx="1944922" cy="2250220"/>
                  <wp:effectExtent l="19050" t="0" r="0" b="0"/>
                  <wp:docPr id="177" name="Bild 57" descr="D:\User\Jana\Göttingen - backup 28.07.2014\Master of Education\SVP\Protokolle\9&amp;10\Bilder\DSC00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User\Jana\Göttingen - backup 28.07.2014\Master of Education\SVP\Protokolle\9&amp;10\Bilder\DSC00956.JPG"/>
                          <pic:cNvPicPr>
                            <a:picLocks noChangeAspect="1" noChangeArrowheads="1"/>
                          </pic:cNvPicPr>
                        </pic:nvPicPr>
                        <pic:blipFill>
                          <a:blip r:embed="rId16" cstate="print"/>
                          <a:srcRect/>
                          <a:stretch>
                            <a:fillRect/>
                          </a:stretch>
                        </pic:blipFill>
                        <pic:spPr bwMode="auto">
                          <a:xfrm>
                            <a:off x="0" y="0"/>
                            <a:ext cx="1944922" cy="2250220"/>
                          </a:xfrm>
                          <a:prstGeom prst="rect">
                            <a:avLst/>
                          </a:prstGeom>
                          <a:noFill/>
                          <a:ln w="9525">
                            <a:noFill/>
                            <a:miter lim="800000"/>
                            <a:headEnd/>
                            <a:tailEnd/>
                          </a:ln>
                        </pic:spPr>
                      </pic:pic>
                    </a:graphicData>
                  </a:graphic>
                </wp:inline>
              </w:drawing>
            </w:r>
          </w:p>
          <w:p w:rsidR="009B496D" w:rsidRDefault="009B496D" w:rsidP="00C33915">
            <w:pPr>
              <w:pStyle w:val="Beschriftung"/>
              <w:jc w:val="center"/>
            </w:pPr>
            <w:r>
              <w:t xml:space="preserve">Abbildung </w:t>
            </w:r>
            <w:fldSimple w:instr=" SEQ Abbildung \* ARABIC ">
              <w:r>
                <w:rPr>
                  <w:noProof/>
                </w:rPr>
                <w:t>8</w:t>
              </w:r>
            </w:fldSimple>
            <w:r>
              <w:t>: Materialien für den Versuch</w:t>
            </w:r>
          </w:p>
          <w:p w:rsidR="009B496D" w:rsidRDefault="009B496D" w:rsidP="00C33915"/>
          <w:tbl>
            <w:tblPr>
              <w:tblStyle w:val="Tabellengitternetz"/>
              <w:tblW w:w="6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5"/>
            </w:tblGrid>
            <w:tr w:rsidR="009B496D" w:rsidTr="00C33915">
              <w:tc>
                <w:tcPr>
                  <w:tcW w:w="6525" w:type="dxa"/>
                </w:tcPr>
                <w:p w:rsidR="009B496D" w:rsidRDefault="009B496D" w:rsidP="00C33915">
                  <w:pPr>
                    <w:keepNext/>
                    <w:jc w:val="center"/>
                  </w:pPr>
                  <w:r>
                    <w:rPr>
                      <w:noProof/>
                    </w:rPr>
                    <w:drawing>
                      <wp:inline distT="0" distB="0" distL="0" distR="0">
                        <wp:extent cx="2819566" cy="2515024"/>
                        <wp:effectExtent l="19050" t="0" r="0" b="0"/>
                        <wp:docPr id="178" name="Bild 58" descr="D:\User\Jana\Göttingen - backup 28.07.2014\Master of Education\SVP\Protokolle\9&amp;10\Bilder\DSC04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User\Jana\Göttingen - backup 28.07.2014\Master of Education\SVP\Protokolle\9&amp;10\Bilder\DSC04084.JPG"/>
                                <pic:cNvPicPr>
                                  <a:picLocks noChangeAspect="1" noChangeArrowheads="1"/>
                                </pic:cNvPicPr>
                              </pic:nvPicPr>
                              <pic:blipFill>
                                <a:blip r:embed="rId17" cstate="print"/>
                                <a:srcRect/>
                                <a:stretch>
                                  <a:fillRect/>
                                </a:stretch>
                              </pic:blipFill>
                              <pic:spPr bwMode="auto">
                                <a:xfrm>
                                  <a:off x="0" y="0"/>
                                  <a:ext cx="2819566" cy="2515024"/>
                                </a:xfrm>
                                <a:prstGeom prst="rect">
                                  <a:avLst/>
                                </a:prstGeom>
                                <a:noFill/>
                                <a:ln w="9525">
                                  <a:noFill/>
                                  <a:miter lim="800000"/>
                                  <a:headEnd/>
                                  <a:tailEnd/>
                                </a:ln>
                              </pic:spPr>
                            </pic:pic>
                          </a:graphicData>
                        </a:graphic>
                      </wp:inline>
                    </w:drawing>
                  </w:r>
                </w:p>
                <w:p w:rsidR="009B496D" w:rsidRDefault="009B496D" w:rsidP="00C33915">
                  <w:pPr>
                    <w:pStyle w:val="Beschriftung"/>
                    <w:jc w:val="center"/>
                  </w:pPr>
                  <w:r>
                    <w:t xml:space="preserve">Abbildung </w:t>
                  </w:r>
                  <w:fldSimple w:instr=" SEQ Abbildung \* ARABIC ">
                    <w:r>
                      <w:rPr>
                        <w:noProof/>
                      </w:rPr>
                      <w:t>9</w:t>
                    </w:r>
                  </w:fldSimple>
                  <w:r>
                    <w:t xml:space="preserve">: Der Versuchsaufbau für die Filtration. </w:t>
                  </w:r>
                </w:p>
              </w:tc>
            </w:tr>
          </w:tbl>
          <w:p w:rsidR="009B496D" w:rsidRDefault="009B496D" w:rsidP="00C33915">
            <w:pPr>
              <w:pStyle w:val="Beschriftung"/>
            </w:pPr>
          </w:p>
        </w:tc>
      </w:tr>
    </w:tbl>
    <w:p w:rsidR="009B496D" w:rsidRDefault="009B496D" w:rsidP="009B496D">
      <w:pPr>
        <w:tabs>
          <w:tab w:val="left" w:pos="1701"/>
          <w:tab w:val="left" w:pos="1985"/>
        </w:tabs>
        <w:ind w:left="1980" w:hanging="1980"/>
      </w:pPr>
      <w:r>
        <w:t>Beobachtung:</w:t>
      </w:r>
      <w:r>
        <w:tab/>
      </w:r>
      <w:r>
        <w:tab/>
        <w:t>Kupfer und Kupferoxid sind rote Pulver, Zink ist ein graues und Zinkoxid ein weißes Pulver. Bei Zugabe der Metalle und Metalloxide zur 1 molaren Salzsäure ist bei Zink und Kupfer eine Gasentwicklung zu beobachten. Ein brennender Glimmspan wird von dem Gas mit einem lauten „</w:t>
      </w:r>
      <w:proofErr w:type="spellStart"/>
      <w:r>
        <w:t>Plopp</w:t>
      </w:r>
      <w:proofErr w:type="spellEnd"/>
      <w:r>
        <w:t>“ erl</w:t>
      </w:r>
      <w:r>
        <w:t>o</w:t>
      </w:r>
      <w:r>
        <w:t>schen. Die Kupferlösungen färben sich beim Erhitzen zuerst grün-blau b</w:t>
      </w:r>
      <w:r>
        <w:t>e</w:t>
      </w:r>
      <w:r>
        <w:t>vor sie einen braunen Rest in der Porzellanschale hinterlassen. Nach dem Filtrieren und Eindampfen kristallisiert bei Kupfer und Kupferoxid in Sal</w:t>
      </w:r>
      <w:r>
        <w:t>z</w:t>
      </w:r>
      <w:r>
        <w:t xml:space="preserve">säure eine braune, kristalline Substanz aus. Zink und Zinkoxid in Salzsäure hinterlassen durch Eindampfen einen weißen, kristallinen Rückstand. </w:t>
      </w:r>
    </w:p>
    <w:tbl>
      <w:tblPr>
        <w:tblStyle w:val="Tabellengitternetz"/>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4"/>
        <w:gridCol w:w="3654"/>
      </w:tblGrid>
      <w:tr w:rsidR="009B496D" w:rsidTr="00C33915">
        <w:tc>
          <w:tcPr>
            <w:tcW w:w="3654" w:type="dxa"/>
            <w:vAlign w:val="bottom"/>
          </w:tcPr>
          <w:p w:rsidR="009B496D" w:rsidRDefault="009B496D" w:rsidP="00C33915">
            <w:pPr>
              <w:keepNext/>
              <w:tabs>
                <w:tab w:val="left" w:pos="1701"/>
                <w:tab w:val="left" w:pos="1985"/>
              </w:tabs>
              <w:spacing w:after="120" w:line="240" w:lineRule="auto"/>
              <w:jc w:val="center"/>
            </w:pPr>
            <w:r>
              <w:rPr>
                <w:noProof/>
              </w:rPr>
              <w:lastRenderedPageBreak/>
              <w:drawing>
                <wp:inline distT="0" distB="0" distL="0" distR="0">
                  <wp:extent cx="2139081" cy="1526650"/>
                  <wp:effectExtent l="19050" t="0" r="0" b="0"/>
                  <wp:docPr id="180" name="Bild 63" descr="D:\User\Jana\Göttingen - backup 28.07.2014\Master of Education\SVP\Protokolle\9&amp;10\Bilder\DSC04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User\Jana\Göttingen - backup 28.07.2014\Master of Education\SVP\Protokolle\9&amp;10\Bilder\DSC04108.JPG"/>
                          <pic:cNvPicPr>
                            <a:picLocks noChangeAspect="1" noChangeArrowheads="1"/>
                          </pic:cNvPicPr>
                        </pic:nvPicPr>
                        <pic:blipFill>
                          <a:blip r:embed="rId18" cstate="print"/>
                          <a:srcRect/>
                          <a:stretch>
                            <a:fillRect/>
                          </a:stretch>
                        </pic:blipFill>
                        <pic:spPr bwMode="auto">
                          <a:xfrm>
                            <a:off x="0" y="0"/>
                            <a:ext cx="2140467" cy="1527639"/>
                          </a:xfrm>
                          <a:prstGeom prst="rect">
                            <a:avLst/>
                          </a:prstGeom>
                          <a:noFill/>
                          <a:ln w="9525">
                            <a:noFill/>
                            <a:miter lim="800000"/>
                            <a:headEnd/>
                            <a:tailEnd/>
                          </a:ln>
                        </pic:spPr>
                      </pic:pic>
                    </a:graphicData>
                  </a:graphic>
                </wp:inline>
              </w:drawing>
            </w:r>
          </w:p>
          <w:p w:rsidR="009B496D" w:rsidRPr="00EF6EEB" w:rsidRDefault="009B496D" w:rsidP="00C33915">
            <w:pPr>
              <w:pStyle w:val="Beschriftung"/>
            </w:pPr>
            <w:r>
              <w:t xml:space="preserve">Abbildung </w:t>
            </w:r>
            <w:fldSimple w:instr=" SEQ Abbildung \* ARABIC ">
              <w:r>
                <w:rPr>
                  <w:noProof/>
                </w:rPr>
                <w:t>10</w:t>
              </w:r>
            </w:fldSimple>
            <w:r>
              <w:t xml:space="preserve">: Die Lösungen von Kupfer (rechts) und Kupferoxid (links)  in Salzsäure verfärben sich beim Eindampfen grün. </w:t>
            </w:r>
            <w:r>
              <w:br/>
            </w:r>
          </w:p>
        </w:tc>
        <w:tc>
          <w:tcPr>
            <w:tcW w:w="3654" w:type="dxa"/>
            <w:vAlign w:val="bottom"/>
          </w:tcPr>
          <w:p w:rsidR="009B496D" w:rsidRPr="00EF6EEB" w:rsidRDefault="009B496D" w:rsidP="00C33915">
            <w:pPr>
              <w:pStyle w:val="Beschriftung"/>
            </w:pPr>
            <w:r>
              <w:rPr>
                <w:noProof/>
              </w:rPr>
              <w:drawing>
                <wp:inline distT="0" distB="0" distL="0" distR="0">
                  <wp:extent cx="1714335" cy="1976222"/>
                  <wp:effectExtent l="152400" t="0" r="133515" b="0"/>
                  <wp:docPr id="181" name="Bild 62" descr="D:\User\Jana\Göttingen - backup 28.07.2014\Master of Education\SVP\Protokolle\9&amp;10\Bilder\DSC04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User\Jana\Göttingen - backup 28.07.2014\Master of Education\SVP\Protokolle\9&amp;10\Bilder\DSC04110.JPG"/>
                          <pic:cNvPicPr>
                            <a:picLocks noChangeAspect="1" noChangeArrowheads="1"/>
                          </pic:cNvPicPr>
                        </pic:nvPicPr>
                        <pic:blipFill>
                          <a:blip r:embed="rId19" cstate="print"/>
                          <a:srcRect/>
                          <a:stretch>
                            <a:fillRect/>
                          </a:stretch>
                        </pic:blipFill>
                        <pic:spPr bwMode="auto">
                          <a:xfrm rot="5400000">
                            <a:off x="0" y="0"/>
                            <a:ext cx="1714335" cy="1976222"/>
                          </a:xfrm>
                          <a:prstGeom prst="rect">
                            <a:avLst/>
                          </a:prstGeom>
                          <a:noFill/>
                          <a:ln w="9525">
                            <a:noFill/>
                            <a:miter lim="800000"/>
                            <a:headEnd/>
                            <a:tailEnd/>
                          </a:ln>
                        </pic:spPr>
                      </pic:pic>
                    </a:graphicData>
                  </a:graphic>
                </wp:inline>
              </w:drawing>
            </w:r>
            <w:r w:rsidRPr="00EF6EEB">
              <w:t xml:space="preserve">Abbildung </w:t>
            </w:r>
            <w:fldSimple w:instr=" SEQ Abbildung \* ARABIC ">
              <w:r>
                <w:rPr>
                  <w:noProof/>
                </w:rPr>
                <w:t>11</w:t>
              </w:r>
            </w:fldSimple>
            <w:r>
              <w:t>: Nach dem Eindampfen bleibt ein brauner, kristalliner Rückstand von den Lösungen Kupferoxid (links) und Kupfer (rechts) in Salzsäure.</w:t>
            </w:r>
          </w:p>
        </w:tc>
      </w:tr>
      <w:tr w:rsidR="009B496D" w:rsidTr="00C33915">
        <w:tc>
          <w:tcPr>
            <w:tcW w:w="7308" w:type="dxa"/>
            <w:gridSpan w:val="2"/>
          </w:tcPr>
          <w:p w:rsidR="009B496D" w:rsidRDefault="009B496D" w:rsidP="00C33915">
            <w:pPr>
              <w:keepNext/>
              <w:tabs>
                <w:tab w:val="left" w:pos="1701"/>
                <w:tab w:val="left" w:pos="1985"/>
              </w:tabs>
              <w:spacing w:line="240" w:lineRule="auto"/>
              <w:jc w:val="center"/>
            </w:pPr>
            <w:r>
              <w:rPr>
                <w:noProof/>
              </w:rPr>
              <w:pict>
                <v:oval id="_x0000_s1053" style="position:absolute;left:0;text-align:left;margin-left:126.35pt;margin-top:99pt;width:25.05pt;height:15.65pt;z-index:251662336;mso-position-horizontal-relative:text;mso-position-vertical-relative:text" strokecolor="red">
                  <v:fill opacity="0"/>
                </v:oval>
              </w:pict>
            </w:r>
            <w:r>
              <w:rPr>
                <w:noProof/>
              </w:rPr>
              <w:pict>
                <v:oval id="_x0000_s1052" style="position:absolute;left:0;text-align:left;margin-left:163.2pt;margin-top:50.2pt;width:25.05pt;height:15.65pt;z-index:251661312;mso-position-horizontal-relative:text;mso-position-vertical-relative:text" strokecolor="red">
                  <v:fill opacity="0"/>
                </v:oval>
              </w:pict>
            </w:r>
            <w:r>
              <w:rPr>
                <w:noProof/>
              </w:rPr>
              <w:drawing>
                <wp:inline distT="0" distB="0" distL="0" distR="0">
                  <wp:extent cx="2223218" cy="2179578"/>
                  <wp:effectExtent l="19050" t="0" r="5632" b="0"/>
                  <wp:docPr id="70" name="Bild 70" descr="D:\User\Jana\Göttingen - backup 28.07.2014\Master of Education\SVP\Protokolle\9&amp;10\Bilder\DSC04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User\Jana\Göttingen - backup 28.07.2014\Master of Education\SVP\Protokolle\9&amp;10\Bilder\DSC04111.JPG"/>
                          <pic:cNvPicPr>
                            <a:picLocks noChangeAspect="1" noChangeArrowheads="1"/>
                          </pic:cNvPicPr>
                        </pic:nvPicPr>
                        <pic:blipFill>
                          <a:blip r:embed="rId20" cstate="print"/>
                          <a:srcRect/>
                          <a:stretch>
                            <a:fillRect/>
                          </a:stretch>
                        </pic:blipFill>
                        <pic:spPr bwMode="auto">
                          <a:xfrm>
                            <a:off x="0" y="0"/>
                            <a:ext cx="2224502" cy="2180837"/>
                          </a:xfrm>
                          <a:prstGeom prst="rect">
                            <a:avLst/>
                          </a:prstGeom>
                          <a:noFill/>
                          <a:ln w="9525">
                            <a:noFill/>
                            <a:miter lim="800000"/>
                            <a:headEnd/>
                            <a:tailEnd/>
                          </a:ln>
                        </pic:spPr>
                      </pic:pic>
                    </a:graphicData>
                  </a:graphic>
                </wp:inline>
              </w:drawing>
            </w:r>
          </w:p>
          <w:p w:rsidR="009B496D" w:rsidRDefault="009B496D" w:rsidP="00C33915">
            <w:pPr>
              <w:pStyle w:val="Beschriftung"/>
            </w:pPr>
            <w:r>
              <w:t xml:space="preserve">Abbildung </w:t>
            </w:r>
            <w:fldSimple w:instr=" SEQ Abbildung \* ARABIC ">
              <w:r>
                <w:rPr>
                  <w:noProof/>
                </w:rPr>
                <w:t>12</w:t>
              </w:r>
            </w:fldSimple>
            <w:r>
              <w:t>: Der weiße, kristalline Rückstand der Lösungen von Zinkoxid (unten links) und Zink (oben rechts) in Salzsäure in den Porzellanschalen. Auf dem Uhrglas das Salz Zin</w:t>
            </w:r>
            <w:r>
              <w:t>k</w:t>
            </w:r>
            <w:r>
              <w:t xml:space="preserve">chlorid zum Vergleich. </w:t>
            </w:r>
          </w:p>
        </w:tc>
      </w:tr>
      <w:tr w:rsidR="009B496D" w:rsidTr="00C33915">
        <w:tc>
          <w:tcPr>
            <w:tcW w:w="7308" w:type="dxa"/>
            <w:gridSpan w:val="2"/>
          </w:tcPr>
          <w:p w:rsidR="009B496D" w:rsidRDefault="009B496D" w:rsidP="00C33915">
            <w:pPr>
              <w:pStyle w:val="Beschriftung"/>
              <w:spacing w:after="120"/>
            </w:pPr>
          </w:p>
        </w:tc>
      </w:tr>
    </w:tbl>
    <w:p w:rsidR="009B496D" w:rsidRDefault="009B496D" w:rsidP="009B496D">
      <w:pPr>
        <w:tabs>
          <w:tab w:val="left" w:pos="1701"/>
          <w:tab w:val="left" w:pos="1985"/>
        </w:tabs>
        <w:ind w:left="1980" w:hanging="1980"/>
      </w:pPr>
      <w:r>
        <w:t>Deutung:</w:t>
      </w:r>
      <w:r>
        <w:tab/>
      </w:r>
      <w:r>
        <w:tab/>
        <w:t>Bei Zugabe von Salzsäure reagieren Kupfer und Kupferoxid mit der Sal</w:t>
      </w:r>
      <w:r>
        <w:t>z</w:t>
      </w:r>
      <w:r>
        <w:t>säure zu Kupfer(II)-</w:t>
      </w:r>
      <w:proofErr w:type="spellStart"/>
      <w:r>
        <w:t>chlorid</w:t>
      </w:r>
      <w:proofErr w:type="spellEnd"/>
      <w:r>
        <w:t xml:space="preserve">. </w:t>
      </w:r>
    </w:p>
    <w:p w:rsidR="009B496D" w:rsidRPr="00DB3EF8" w:rsidRDefault="009B496D" w:rsidP="009B496D">
      <w:pPr>
        <w:tabs>
          <w:tab w:val="left" w:pos="1701"/>
          <w:tab w:val="left" w:pos="1985"/>
        </w:tabs>
        <w:ind w:left="1980" w:hanging="1980"/>
        <w:jc w:val="center"/>
        <w:rPr>
          <w:i/>
          <w:vertAlign w:val="subscript"/>
          <w:lang w:val="en-US"/>
        </w:rPr>
      </w:pPr>
      <w:r w:rsidRPr="00C34124">
        <w:tab/>
      </w:r>
      <w:r w:rsidRPr="00DB3EF8">
        <w:rPr>
          <w:i/>
          <w:lang w:val="en-US"/>
        </w:rPr>
        <w:t>Cu</w:t>
      </w:r>
      <w:r w:rsidRPr="00DB3EF8">
        <w:rPr>
          <w:i/>
          <w:vertAlign w:val="subscript"/>
          <w:lang w:val="en-US"/>
        </w:rPr>
        <w:t xml:space="preserve">(s) </w:t>
      </w:r>
      <w:r w:rsidRPr="00DB3EF8">
        <w:rPr>
          <w:i/>
          <w:lang w:val="en-US"/>
        </w:rPr>
        <w:t xml:space="preserve">+ 2 </w:t>
      </w:r>
      <w:proofErr w:type="spellStart"/>
      <w:proofErr w:type="gramStart"/>
      <w:r w:rsidRPr="00DB3EF8">
        <w:rPr>
          <w:i/>
          <w:lang w:val="en-US"/>
        </w:rPr>
        <w:t>HCl</w:t>
      </w:r>
      <w:proofErr w:type="spellEnd"/>
      <w:r w:rsidRPr="00DB3EF8">
        <w:rPr>
          <w:i/>
          <w:vertAlign w:val="subscript"/>
          <w:lang w:val="en-US"/>
        </w:rPr>
        <w:t>(</w:t>
      </w:r>
      <w:proofErr w:type="spellStart"/>
      <w:proofErr w:type="gramEnd"/>
      <w:r w:rsidRPr="00DB3EF8">
        <w:rPr>
          <w:i/>
          <w:vertAlign w:val="subscript"/>
          <w:lang w:val="en-US"/>
        </w:rPr>
        <w:t>aq</w:t>
      </w:r>
      <w:proofErr w:type="spellEnd"/>
      <w:r w:rsidRPr="00DB3EF8">
        <w:rPr>
          <w:i/>
          <w:vertAlign w:val="subscript"/>
          <w:lang w:val="en-US"/>
        </w:rPr>
        <w:t xml:space="preserve">) </w:t>
      </w:r>
      <m:oMath>
        <m:r>
          <w:rPr>
            <w:rFonts w:ascii="Cambria Math" w:hAnsi="Cambria Math"/>
            <w:vertAlign w:val="subscript"/>
            <w:lang w:val="en-US"/>
          </w:rPr>
          <m:t>→</m:t>
        </m:r>
      </m:oMath>
      <w:r w:rsidRPr="00DB3EF8">
        <w:rPr>
          <w:i/>
          <w:vertAlign w:val="subscript"/>
          <w:lang w:val="en-US"/>
        </w:rPr>
        <w:t xml:space="preserve"> </w:t>
      </w:r>
      <w:r w:rsidRPr="00DB3EF8">
        <w:rPr>
          <w:i/>
          <w:lang w:val="en-US"/>
        </w:rPr>
        <w:t>CuCl</w:t>
      </w:r>
      <w:r w:rsidRPr="00DB3EF8">
        <w:rPr>
          <w:i/>
          <w:vertAlign w:val="subscript"/>
          <w:lang w:val="en-US"/>
        </w:rPr>
        <w:t xml:space="preserve">2 (s) </w:t>
      </w:r>
      <w:r w:rsidRPr="00DB3EF8">
        <w:rPr>
          <w:i/>
          <w:lang w:val="en-US"/>
        </w:rPr>
        <w:t>+ H</w:t>
      </w:r>
      <w:r w:rsidRPr="00DB3EF8">
        <w:rPr>
          <w:i/>
          <w:vertAlign w:val="subscript"/>
          <w:lang w:val="en-US"/>
        </w:rPr>
        <w:t>2 (g)</w:t>
      </w:r>
    </w:p>
    <w:p w:rsidR="009B496D" w:rsidRPr="00DB3EF8" w:rsidRDefault="009B496D" w:rsidP="009B496D">
      <w:pPr>
        <w:tabs>
          <w:tab w:val="left" w:pos="1701"/>
          <w:tab w:val="left" w:pos="1985"/>
        </w:tabs>
        <w:ind w:left="1980" w:hanging="1980"/>
        <w:jc w:val="center"/>
        <w:rPr>
          <w:i/>
          <w:vertAlign w:val="subscript"/>
          <w:lang w:val="en-US"/>
        </w:rPr>
      </w:pPr>
      <w:r w:rsidRPr="00DB3EF8">
        <w:rPr>
          <w:i/>
          <w:lang w:val="en-US"/>
        </w:rPr>
        <w:tab/>
      </w:r>
      <w:proofErr w:type="spellStart"/>
      <w:r w:rsidRPr="00DB3EF8">
        <w:rPr>
          <w:i/>
          <w:lang w:val="en-US"/>
        </w:rPr>
        <w:t>CuO</w:t>
      </w:r>
      <w:proofErr w:type="spellEnd"/>
      <w:r w:rsidRPr="00DB3EF8">
        <w:rPr>
          <w:i/>
          <w:vertAlign w:val="subscript"/>
          <w:lang w:val="en-US"/>
        </w:rPr>
        <w:t xml:space="preserve">(s) </w:t>
      </w:r>
      <w:r w:rsidRPr="00DB3EF8">
        <w:rPr>
          <w:i/>
          <w:lang w:val="en-US"/>
        </w:rPr>
        <w:t xml:space="preserve">+ 2 </w:t>
      </w:r>
      <w:proofErr w:type="spellStart"/>
      <w:proofErr w:type="gramStart"/>
      <w:r w:rsidRPr="00DB3EF8">
        <w:rPr>
          <w:i/>
          <w:lang w:val="en-US"/>
        </w:rPr>
        <w:t>HCl</w:t>
      </w:r>
      <w:proofErr w:type="spellEnd"/>
      <w:r w:rsidRPr="00DB3EF8">
        <w:rPr>
          <w:i/>
          <w:vertAlign w:val="subscript"/>
          <w:lang w:val="en-US"/>
        </w:rPr>
        <w:t>(</w:t>
      </w:r>
      <w:proofErr w:type="spellStart"/>
      <w:proofErr w:type="gramEnd"/>
      <w:r w:rsidRPr="00DB3EF8">
        <w:rPr>
          <w:i/>
          <w:vertAlign w:val="subscript"/>
          <w:lang w:val="en-US"/>
        </w:rPr>
        <w:t>aq</w:t>
      </w:r>
      <w:proofErr w:type="spellEnd"/>
      <w:r w:rsidRPr="00DB3EF8">
        <w:rPr>
          <w:i/>
          <w:vertAlign w:val="subscript"/>
          <w:lang w:val="en-US"/>
        </w:rPr>
        <w:t xml:space="preserve">) </w:t>
      </w:r>
      <m:oMath>
        <m:r>
          <w:rPr>
            <w:rFonts w:ascii="Cambria Math" w:hAnsi="Cambria Math"/>
            <w:vertAlign w:val="subscript"/>
            <w:lang w:val="en-US"/>
          </w:rPr>
          <m:t>→</m:t>
        </m:r>
      </m:oMath>
      <w:r w:rsidRPr="00DB3EF8">
        <w:rPr>
          <w:i/>
          <w:vertAlign w:val="subscript"/>
          <w:lang w:val="en-US"/>
        </w:rPr>
        <w:t xml:space="preserve"> </w:t>
      </w:r>
      <w:r w:rsidRPr="00DB3EF8">
        <w:rPr>
          <w:i/>
          <w:lang w:val="en-US"/>
        </w:rPr>
        <w:t>CuCl</w:t>
      </w:r>
      <w:r w:rsidRPr="00DB3EF8">
        <w:rPr>
          <w:i/>
          <w:vertAlign w:val="subscript"/>
          <w:lang w:val="en-US"/>
        </w:rPr>
        <w:t xml:space="preserve">2 (s) </w:t>
      </w:r>
      <w:r w:rsidRPr="00DB3EF8">
        <w:rPr>
          <w:i/>
          <w:lang w:val="en-US"/>
        </w:rPr>
        <w:t>+ H</w:t>
      </w:r>
      <w:r w:rsidRPr="00DB3EF8">
        <w:rPr>
          <w:i/>
          <w:vertAlign w:val="subscript"/>
          <w:lang w:val="en-US"/>
        </w:rPr>
        <w:t>2</w:t>
      </w:r>
      <w:r w:rsidRPr="00DB3EF8">
        <w:rPr>
          <w:i/>
          <w:lang w:val="en-US"/>
        </w:rPr>
        <w:t>O</w:t>
      </w:r>
      <w:r w:rsidRPr="00DB3EF8">
        <w:rPr>
          <w:i/>
          <w:vertAlign w:val="subscript"/>
          <w:lang w:val="en-US"/>
        </w:rPr>
        <w:t xml:space="preserve"> (l)</w:t>
      </w:r>
    </w:p>
    <w:p w:rsidR="009B496D" w:rsidRDefault="009B496D" w:rsidP="009B496D">
      <w:pPr>
        <w:tabs>
          <w:tab w:val="left" w:pos="1701"/>
          <w:tab w:val="left" w:pos="1985"/>
        </w:tabs>
        <w:ind w:left="1980" w:hanging="1980"/>
      </w:pPr>
      <w:r>
        <w:rPr>
          <w:lang w:val="en-US"/>
        </w:rPr>
        <w:tab/>
      </w:r>
      <w:r>
        <w:rPr>
          <w:lang w:val="en-US"/>
        </w:rPr>
        <w:tab/>
      </w:r>
      <w:r w:rsidRPr="00EF6EEB">
        <w:t xml:space="preserve">Durch das Verdampfen der </w:t>
      </w:r>
      <w:r>
        <w:t>Lösung kann der braune Feststoff, das Ku</w:t>
      </w:r>
      <w:r>
        <w:t>p</w:t>
      </w:r>
      <w:r>
        <w:t>fer(II)-</w:t>
      </w:r>
      <w:proofErr w:type="spellStart"/>
      <w:r>
        <w:t>chlorid</w:t>
      </w:r>
      <w:proofErr w:type="spellEnd"/>
      <w:r>
        <w:t xml:space="preserve"> gewonnen werden. Die blau-grüne Färbung der Lösung ist auf das Kupferchlorid Hydrat (CuCl</w:t>
      </w:r>
      <w:r>
        <w:rPr>
          <w:vertAlign w:val="subscript"/>
        </w:rPr>
        <w:t>2</w:t>
      </w:r>
      <m:oMath>
        <m:r>
          <w:rPr>
            <w:rFonts w:ascii="Cambria Math" w:hAnsi="Cambria Math"/>
            <w:vertAlign w:val="subscript"/>
          </w:rPr>
          <m:t xml:space="preserve"> ∙2</m:t>
        </m:r>
      </m:oMath>
      <w:r>
        <w:t xml:space="preserve"> H</w:t>
      </w:r>
      <w:r>
        <w:rPr>
          <w:vertAlign w:val="subscript"/>
        </w:rPr>
        <w:t>2</w:t>
      </w:r>
      <w:r>
        <w:t xml:space="preserve">0) zurückzuführen, welches eine grüne Färbung aufweist. </w:t>
      </w:r>
    </w:p>
    <w:p w:rsidR="009B496D" w:rsidRDefault="009B496D" w:rsidP="009B496D">
      <w:pPr>
        <w:tabs>
          <w:tab w:val="left" w:pos="1701"/>
          <w:tab w:val="left" w:pos="1985"/>
        </w:tabs>
        <w:ind w:left="1980" w:hanging="1980"/>
      </w:pPr>
      <w:r>
        <w:tab/>
      </w:r>
      <w:r>
        <w:tab/>
        <w:t>Zink und Zinkoxid reagieren mit Salzsäure zu Zinkchlorid.</w:t>
      </w:r>
    </w:p>
    <w:p w:rsidR="009B496D" w:rsidRPr="00DB3EF8" w:rsidRDefault="009B496D" w:rsidP="009B496D">
      <w:pPr>
        <w:tabs>
          <w:tab w:val="left" w:pos="1701"/>
          <w:tab w:val="left" w:pos="1985"/>
        </w:tabs>
        <w:ind w:left="1980" w:hanging="1980"/>
        <w:jc w:val="center"/>
        <w:rPr>
          <w:i/>
          <w:lang w:val="en-US"/>
        </w:rPr>
      </w:pPr>
      <w:r w:rsidRPr="00DB3EF8">
        <w:rPr>
          <w:i/>
          <w:lang w:val="en-US"/>
        </w:rPr>
        <w:t>Zn</w:t>
      </w:r>
      <w:r w:rsidRPr="00DB3EF8">
        <w:rPr>
          <w:i/>
          <w:vertAlign w:val="subscript"/>
          <w:lang w:val="en-US"/>
        </w:rPr>
        <w:t xml:space="preserve">(s) </w:t>
      </w:r>
      <w:r w:rsidRPr="00DB3EF8">
        <w:rPr>
          <w:i/>
          <w:lang w:val="en-US"/>
        </w:rPr>
        <w:t xml:space="preserve">+ 2 </w:t>
      </w:r>
      <w:proofErr w:type="spellStart"/>
      <w:r w:rsidRPr="00DB3EF8">
        <w:rPr>
          <w:i/>
          <w:lang w:val="en-US"/>
        </w:rPr>
        <w:t>HCl</w:t>
      </w:r>
      <w:proofErr w:type="spellEnd"/>
      <w:r w:rsidRPr="00DB3EF8">
        <w:rPr>
          <w:i/>
          <w:lang w:val="en-US"/>
        </w:rPr>
        <w:t xml:space="preserve"> </w:t>
      </w:r>
      <w:r w:rsidRPr="00DB3EF8">
        <w:rPr>
          <w:i/>
          <w:vertAlign w:val="subscript"/>
          <w:lang w:val="en-US"/>
        </w:rPr>
        <w:t>(</w:t>
      </w:r>
      <w:proofErr w:type="spellStart"/>
      <w:r w:rsidRPr="00DB3EF8">
        <w:rPr>
          <w:i/>
          <w:vertAlign w:val="subscript"/>
          <w:lang w:val="en-US"/>
        </w:rPr>
        <w:t>aq</w:t>
      </w:r>
      <w:proofErr w:type="spellEnd"/>
      <w:r w:rsidRPr="00DB3EF8">
        <w:rPr>
          <w:i/>
          <w:vertAlign w:val="subscript"/>
          <w:lang w:val="en-US"/>
        </w:rPr>
        <w:t xml:space="preserve">) </w:t>
      </w:r>
      <w:r w:rsidRPr="00DB3EF8">
        <w:rPr>
          <w:i/>
          <w:lang w:val="en-US"/>
        </w:rPr>
        <w:t xml:space="preserve"> </w:t>
      </w:r>
      <m:oMath>
        <m:r>
          <w:rPr>
            <w:rFonts w:ascii="Cambria Math" w:hAnsi="Cambria Math"/>
            <w:lang w:val="en-US"/>
          </w:rPr>
          <m:t>→</m:t>
        </m:r>
      </m:oMath>
      <w:r w:rsidRPr="00DB3EF8">
        <w:rPr>
          <w:i/>
          <w:lang w:val="en-US"/>
        </w:rPr>
        <w:t xml:space="preserve"> ZnCl</w:t>
      </w:r>
      <w:r w:rsidRPr="00DB3EF8">
        <w:rPr>
          <w:i/>
          <w:vertAlign w:val="subscript"/>
          <w:lang w:val="en-US"/>
        </w:rPr>
        <w:t xml:space="preserve">2 (s) </w:t>
      </w:r>
      <w:r w:rsidRPr="00DB3EF8">
        <w:rPr>
          <w:i/>
          <w:lang w:val="en-US"/>
        </w:rPr>
        <w:t>+ H</w:t>
      </w:r>
      <w:r w:rsidRPr="00DB3EF8">
        <w:rPr>
          <w:i/>
          <w:vertAlign w:val="subscript"/>
          <w:lang w:val="en-US"/>
        </w:rPr>
        <w:t>2 (g)</w:t>
      </w:r>
    </w:p>
    <w:p w:rsidR="009B496D" w:rsidRPr="00DB3EF8" w:rsidRDefault="009B496D" w:rsidP="009B496D">
      <w:pPr>
        <w:tabs>
          <w:tab w:val="left" w:pos="1701"/>
          <w:tab w:val="left" w:pos="1985"/>
        </w:tabs>
        <w:ind w:left="1980" w:hanging="1980"/>
        <w:jc w:val="center"/>
        <w:rPr>
          <w:i/>
          <w:vertAlign w:val="subscript"/>
          <w:lang w:val="en-US"/>
        </w:rPr>
      </w:pPr>
      <w:proofErr w:type="spellStart"/>
      <w:r w:rsidRPr="00DB3EF8">
        <w:rPr>
          <w:i/>
          <w:lang w:val="en-US"/>
        </w:rPr>
        <w:t>ZnO</w:t>
      </w:r>
      <w:proofErr w:type="spellEnd"/>
      <w:r w:rsidRPr="00DB3EF8">
        <w:rPr>
          <w:i/>
          <w:vertAlign w:val="subscript"/>
          <w:lang w:val="en-US"/>
        </w:rPr>
        <w:t xml:space="preserve"> (s) </w:t>
      </w:r>
      <w:r w:rsidRPr="00DB3EF8">
        <w:rPr>
          <w:i/>
          <w:lang w:val="en-US"/>
        </w:rPr>
        <w:t xml:space="preserve">+ </w:t>
      </w:r>
      <w:r>
        <w:rPr>
          <w:i/>
          <w:lang w:val="en-US"/>
        </w:rPr>
        <w:t>2</w:t>
      </w:r>
      <w:r w:rsidRPr="00DB3EF8">
        <w:rPr>
          <w:i/>
          <w:lang w:val="en-US"/>
        </w:rPr>
        <w:t xml:space="preserve"> </w:t>
      </w:r>
      <w:proofErr w:type="spellStart"/>
      <w:r w:rsidRPr="00DB3EF8">
        <w:rPr>
          <w:i/>
          <w:lang w:val="en-US"/>
        </w:rPr>
        <w:t>HCl</w:t>
      </w:r>
      <w:proofErr w:type="spellEnd"/>
      <w:r w:rsidRPr="00DB3EF8">
        <w:rPr>
          <w:i/>
          <w:lang w:val="en-US"/>
        </w:rPr>
        <w:t xml:space="preserve"> </w:t>
      </w:r>
      <w:r w:rsidRPr="00DB3EF8">
        <w:rPr>
          <w:i/>
          <w:vertAlign w:val="subscript"/>
          <w:lang w:val="en-US"/>
        </w:rPr>
        <w:t>(</w:t>
      </w:r>
      <w:proofErr w:type="spellStart"/>
      <w:r w:rsidRPr="00DB3EF8">
        <w:rPr>
          <w:i/>
          <w:vertAlign w:val="subscript"/>
          <w:lang w:val="en-US"/>
        </w:rPr>
        <w:t>aq</w:t>
      </w:r>
      <w:proofErr w:type="spellEnd"/>
      <w:r w:rsidRPr="00DB3EF8">
        <w:rPr>
          <w:i/>
          <w:vertAlign w:val="subscript"/>
          <w:lang w:val="en-US"/>
        </w:rPr>
        <w:t xml:space="preserve">) </w:t>
      </w:r>
      <w:r w:rsidRPr="00DB3EF8">
        <w:rPr>
          <w:i/>
          <w:lang w:val="en-US"/>
        </w:rPr>
        <w:t xml:space="preserve"> </w:t>
      </w:r>
      <m:oMath>
        <m:r>
          <w:rPr>
            <w:rFonts w:ascii="Cambria Math" w:hAnsi="Cambria Math"/>
            <w:lang w:val="en-US"/>
          </w:rPr>
          <m:t>→</m:t>
        </m:r>
      </m:oMath>
      <w:r w:rsidRPr="00DB3EF8">
        <w:rPr>
          <w:i/>
          <w:lang w:val="en-US"/>
        </w:rPr>
        <w:t xml:space="preserve"> ZnCl</w:t>
      </w:r>
      <w:r w:rsidRPr="00DB3EF8">
        <w:rPr>
          <w:i/>
          <w:vertAlign w:val="subscript"/>
          <w:lang w:val="en-US"/>
        </w:rPr>
        <w:t xml:space="preserve">2 (s) </w:t>
      </w:r>
      <w:proofErr w:type="gramStart"/>
      <w:r w:rsidRPr="00DB3EF8">
        <w:rPr>
          <w:i/>
          <w:lang w:val="en-US"/>
        </w:rPr>
        <w:t>+  H</w:t>
      </w:r>
      <w:r w:rsidRPr="00DB3EF8">
        <w:rPr>
          <w:i/>
          <w:vertAlign w:val="subscript"/>
          <w:lang w:val="en-US"/>
        </w:rPr>
        <w:t>2</w:t>
      </w:r>
      <w:r w:rsidRPr="00DB3EF8">
        <w:rPr>
          <w:i/>
          <w:lang w:val="en-US"/>
        </w:rPr>
        <w:t>O</w:t>
      </w:r>
      <w:proofErr w:type="gramEnd"/>
      <w:r w:rsidRPr="00DB3EF8">
        <w:rPr>
          <w:i/>
          <w:vertAlign w:val="subscript"/>
          <w:lang w:val="en-US"/>
        </w:rPr>
        <w:t xml:space="preserve">(l) </w:t>
      </w:r>
    </w:p>
    <w:p w:rsidR="009B496D" w:rsidRDefault="009B496D" w:rsidP="009B496D">
      <w:pPr>
        <w:tabs>
          <w:tab w:val="left" w:pos="1701"/>
          <w:tab w:val="left" w:pos="1985"/>
        </w:tabs>
        <w:ind w:left="1980" w:hanging="1980"/>
      </w:pPr>
      <w:r>
        <w:rPr>
          <w:lang w:val="en-US"/>
        </w:rPr>
        <w:lastRenderedPageBreak/>
        <w:tab/>
      </w:r>
      <w:r>
        <w:rPr>
          <w:lang w:val="en-US"/>
        </w:rPr>
        <w:tab/>
      </w:r>
      <w:r w:rsidRPr="00D553E7">
        <w:t>Zin</w:t>
      </w:r>
      <w:r>
        <w:t>k</w:t>
      </w:r>
      <w:r w:rsidRPr="00D553E7">
        <w:t>chlorid kann durch Eindampfen als w</w:t>
      </w:r>
      <w:r>
        <w:t>eißer, kristalliner Feststoff g</w:t>
      </w:r>
      <w:r>
        <w:t>e</w:t>
      </w:r>
      <w:r>
        <w:t xml:space="preserve">wonnen werden. </w:t>
      </w:r>
    </w:p>
    <w:p w:rsidR="009B496D" w:rsidRPr="00CD03BD" w:rsidRDefault="009B496D" w:rsidP="009B496D">
      <w:pPr>
        <w:tabs>
          <w:tab w:val="left" w:pos="1701"/>
          <w:tab w:val="left" w:pos="1985"/>
        </w:tabs>
        <w:ind w:left="1980" w:hanging="1980"/>
        <w:rPr>
          <w:rFonts w:eastAsia="MS Mincho"/>
        </w:rPr>
      </w:pPr>
      <w:r>
        <w:t xml:space="preserve">Entsorgung: </w:t>
      </w:r>
      <w:r>
        <w:tab/>
      </w:r>
      <w:r>
        <w:tab/>
      </w:r>
      <w:r>
        <w:rPr>
          <w:color w:val="auto"/>
        </w:rPr>
        <w:t xml:space="preserve">Die Salze und die Filterpapiere werden in den Feststoffabfall entsorgt. </w:t>
      </w:r>
    </w:p>
    <w:p w:rsidR="009B496D" w:rsidRDefault="009B496D" w:rsidP="009B496D">
      <w:pPr>
        <w:spacing w:line="276" w:lineRule="auto"/>
        <w:ind w:left="1985" w:hanging="1985"/>
      </w:pPr>
      <w:r>
        <w:t>Literatur:</w:t>
      </w:r>
      <w:r>
        <w:tab/>
        <w:t xml:space="preserve">[1] K. Grothe, Chemie, </w:t>
      </w:r>
      <w:proofErr w:type="spellStart"/>
      <w:r>
        <w:t>Schroedel</w:t>
      </w:r>
      <w:proofErr w:type="spellEnd"/>
      <w:r>
        <w:t xml:space="preserve">, S. 45. </w:t>
      </w:r>
    </w:p>
    <w:p w:rsidR="009B496D" w:rsidRDefault="009B496D" w:rsidP="009B496D">
      <w:pPr>
        <w:spacing w:line="276" w:lineRule="auto"/>
        <w:ind w:left="1985" w:hanging="1985"/>
      </w:pPr>
      <w:r>
        <w:tab/>
        <w:t xml:space="preserve">[2] W. </w:t>
      </w:r>
      <w:proofErr w:type="spellStart"/>
      <w:r>
        <w:t>Asselborn</w:t>
      </w:r>
      <w:proofErr w:type="spellEnd"/>
      <w:r>
        <w:t xml:space="preserve"> et al., Chemie heute – </w:t>
      </w:r>
      <w:proofErr w:type="spellStart"/>
      <w:r>
        <w:t>Sekundarbereich</w:t>
      </w:r>
      <w:proofErr w:type="spellEnd"/>
      <w:r>
        <w:t xml:space="preserve"> I, </w:t>
      </w:r>
      <w:proofErr w:type="spellStart"/>
      <w:r>
        <w:t>Schroedel</w:t>
      </w:r>
      <w:proofErr w:type="spellEnd"/>
      <w:r>
        <w:t xml:space="preserve">, S. 210. </w:t>
      </w:r>
    </w:p>
    <w:p w:rsidR="009B496D" w:rsidRDefault="009B496D" w:rsidP="009B496D">
      <w:pPr>
        <w:tabs>
          <w:tab w:val="left" w:pos="1701"/>
          <w:tab w:val="left" w:pos="1985"/>
        </w:tabs>
        <w:ind w:left="1980" w:hanging="1980"/>
      </w:pPr>
      <w:r>
        <w:pict>
          <v:shape id="_x0000_s1050" type="#_x0000_t202" style="width:462.45pt;height:7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50">
              <w:txbxContent>
                <w:p w:rsidR="009B496D" w:rsidRPr="00364A1B" w:rsidRDefault="009B496D" w:rsidP="009B496D">
                  <w:pPr>
                    <w:rPr>
                      <w:color w:val="1F497D"/>
                    </w:rPr>
                  </w:pPr>
                  <w:r w:rsidRPr="00CD03BD">
                    <w:rPr>
                      <w:b/>
                      <w:color w:val="1F497D"/>
                    </w:rPr>
                    <w:t xml:space="preserve">Unterrichtsanschlüsse </w:t>
                  </w:r>
                  <w:r>
                    <w:rPr>
                      <w:color w:val="auto"/>
                    </w:rPr>
                    <w:t>Dieser Versuch kann in der Einheit Salze, Salzbildung oder Metalle und Metalloxide durchgeführt werden. Der Versuch eignet sich als Schülerversuch, da er als Demonstrationsversuch zu lange dauert und auch ungefährlich ist.  Alternativ oder als Erweit</w:t>
                  </w:r>
                  <w:r>
                    <w:rPr>
                      <w:color w:val="auto"/>
                    </w:rPr>
                    <w:t>e</w:t>
                  </w:r>
                  <w:r>
                    <w:rPr>
                      <w:color w:val="auto"/>
                    </w:rPr>
                    <w:t>rung könnte auch CaCl</w:t>
                  </w:r>
                  <w:r>
                    <w:rPr>
                      <w:color w:val="auto"/>
                      <w:vertAlign w:val="subscript"/>
                    </w:rPr>
                    <w:t>2</w:t>
                  </w:r>
                  <w:r>
                    <w:rPr>
                      <w:color w:val="auto"/>
                    </w:rPr>
                    <w:t xml:space="preserve"> hergestellt werden, durch die Reaktion von Calcium mit Salzsäure. </w:t>
                  </w:r>
                </w:p>
              </w:txbxContent>
            </v:textbox>
            <w10:wrap type="none"/>
            <w10:anchorlock/>
          </v:shape>
        </w:pict>
      </w:r>
    </w:p>
    <w:p w:rsidR="006B513F" w:rsidRPr="009B496D" w:rsidRDefault="006B513F" w:rsidP="009B496D"/>
    <w:sectPr w:rsidR="006B513F" w:rsidRPr="009B496D" w:rsidSect="00651503">
      <w:headerReference w:type="default" r:id="rId2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9A3" w:rsidRDefault="003429A3" w:rsidP="00EC3514">
      <w:pPr>
        <w:spacing w:after="0" w:line="240" w:lineRule="auto"/>
      </w:pPr>
      <w:r>
        <w:separator/>
      </w:r>
    </w:p>
  </w:endnote>
  <w:endnote w:type="continuationSeparator" w:id="0">
    <w:p w:rsidR="003429A3" w:rsidRDefault="003429A3"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9A3" w:rsidRDefault="003429A3" w:rsidP="00EC3514">
      <w:pPr>
        <w:spacing w:after="0" w:line="240" w:lineRule="auto"/>
      </w:pPr>
      <w:r>
        <w:separator/>
      </w:r>
    </w:p>
  </w:footnote>
  <w:footnote w:type="continuationSeparator" w:id="0">
    <w:p w:rsidR="003429A3" w:rsidRDefault="003429A3"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9B496D">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CBD0BE2"/>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nsid w:val="57714520"/>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217592B"/>
    <w:multiLevelType w:val="multilevel"/>
    <w:tmpl w:val="3FDAE41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7829174E"/>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C3514"/>
    <w:rsid w:val="000875D3"/>
    <w:rsid w:val="001A42B4"/>
    <w:rsid w:val="003429A3"/>
    <w:rsid w:val="003F413F"/>
    <w:rsid w:val="0049618C"/>
    <w:rsid w:val="00601DD6"/>
    <w:rsid w:val="00651503"/>
    <w:rsid w:val="006B513F"/>
    <w:rsid w:val="009B496D"/>
    <w:rsid w:val="00A0189E"/>
    <w:rsid w:val="00B415FA"/>
    <w:rsid w:val="00B5741E"/>
    <w:rsid w:val="00BF11A0"/>
    <w:rsid w:val="00D12B52"/>
    <w:rsid w:val="00D57F5D"/>
    <w:rsid w:val="00DE74CC"/>
    <w:rsid w:val="00EC3514"/>
    <w:rsid w:val="00F129CA"/>
    <w:rsid w:val="00FF76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semiHidden/>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3514"/>
    <w:rPr>
      <w:rFonts w:ascii="Cambria" w:eastAsia="Calibri" w:hAnsi="Cambria" w:cs="Times New Roman"/>
      <w:color w:val="1D1B11"/>
    </w:rPr>
  </w:style>
  <w:style w:type="character" w:styleId="Hyperlink">
    <w:name w:val="Hyperlink"/>
    <w:uiPriority w:val="99"/>
    <w:unhideWhenUsed/>
    <w:rsid w:val="006B513F"/>
    <w:rPr>
      <w:color w:val="0000FF"/>
      <w:u w:val="single"/>
    </w:rPr>
  </w:style>
  <w:style w:type="paragraph" w:styleId="Listenabsatz">
    <w:name w:val="List Paragraph"/>
    <w:basedOn w:val="Standard"/>
    <w:uiPriority w:val="34"/>
    <w:qFormat/>
    <w:rsid w:val="003F413F"/>
    <w:pPr>
      <w:spacing w:line="276" w:lineRule="auto"/>
      <w:ind w:left="720"/>
      <w:contextualSpacing/>
    </w:pPr>
    <w:rPr>
      <w:rFonts w:ascii="Calibri" w:hAnsi="Calibri"/>
      <w:color w:val="000000"/>
    </w:rPr>
  </w:style>
  <w:style w:type="paragraph" w:styleId="Funotentext">
    <w:name w:val="footnote text"/>
    <w:basedOn w:val="Standard"/>
    <w:link w:val="FunotentextZchn"/>
    <w:uiPriority w:val="99"/>
    <w:semiHidden/>
    <w:unhideWhenUsed/>
    <w:rsid w:val="003F41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413F"/>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3F413F"/>
    <w:rPr>
      <w:vertAlign w:val="superscript"/>
    </w:rPr>
  </w:style>
  <w:style w:type="character" w:customStyle="1" w:styleId="apple-converted-space">
    <w:name w:val="apple-converted-space"/>
    <w:basedOn w:val="Absatz-Standardschriftart"/>
    <w:rsid w:val="00B415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glossaryDocument" Target="glossary/document.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A12E45"/>
    <w:rsid w:val="00A14F9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 w:type="paragraph" w:customStyle="1" w:styleId="B50AD2416C3C4CBBA72732ADF843E1D4">
    <w:name w:val="B50AD2416C3C4CBBA72732ADF843E1D4"/>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426</Words>
  <Characters>2690</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2</cp:revision>
  <cp:lastPrinted>2014-08-26T19:28:00Z</cp:lastPrinted>
  <dcterms:created xsi:type="dcterms:W3CDTF">2014-08-26T19:29:00Z</dcterms:created>
  <dcterms:modified xsi:type="dcterms:W3CDTF">2014-08-26T19:29:00Z</dcterms:modified>
</cp:coreProperties>
</file>