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B3" w:rsidRDefault="005D42BE" w:rsidP="008C519C">
      <w:pPr>
        <w:pStyle w:val="berschrift2"/>
        <w:numPr>
          <w:ilvl w:val="0"/>
          <w:numId w:val="0"/>
        </w:numPr>
        <w:ind w:left="576" w:hanging="576"/>
      </w:pPr>
      <w:r w:rsidRPr="005D42BE">
        <w:rPr>
          <w:noProof/>
          <w:color w:val="1F497D" w:themeColor="text2"/>
          <w:lang w:eastAsia="de-DE"/>
        </w:rPr>
        <w:pict>
          <v:shapetype id="_x0000_t202" coordsize="21600,21600" o:spt="202" path="m,l,21600r21600,l21600,xe">
            <v:stroke joinstyle="miter"/>
            <v:path gradientshapeok="t" o:connecttype="rect"/>
          </v:shapetype>
          <v:shape id="_x0000_s1026" type="#_x0000_t202" style="position:absolute;left:0;text-align:left;margin-left:-1.35pt;margin-top:45.85pt;width:462.45pt;height:150.95pt;z-index:251660288;mso-width-relative:margin;mso-height-relative:margin" fillcolor="white [3201]" strokecolor="#4bacc6 [3208]" strokeweight="1pt">
            <v:stroke dashstyle="dash"/>
            <v:shadow color="#868686"/>
            <v:textbox style="mso-next-textbox:#_x0000_s1026">
              <w:txbxContent>
                <w:p w:rsidR="00C935B3" w:rsidRDefault="00C935B3" w:rsidP="00C935B3">
                  <w:pPr>
                    <w:rPr>
                      <w:color w:val="1F497D" w:themeColor="text2"/>
                    </w:rPr>
                  </w:pPr>
                  <w:r>
                    <w:rPr>
                      <w:color w:val="1F497D" w:themeColor="text2"/>
                    </w:rPr>
                    <w:t>Zum Vorwissen zu diesem Versuch gehört zum einen das Wissen über Bestandteile der Luft (speziell Sauerstoff und Stickstoff). Wissen über ionische Bindungen und Lösungsverhalten von Salzen in Wasser sind ebenfalls notwendiges Vorwissen, um die Nachweise des Ammoniak-Gases deuten zu können. Auch Eigenschaften von Ammoniak können im Vorfeld in verschiedenen Experimenten behandelt werden.</w:t>
                  </w:r>
                </w:p>
                <w:p w:rsidR="00C935B3" w:rsidRPr="000D10FB" w:rsidRDefault="00C935B3" w:rsidP="00C935B3">
                  <w:pPr>
                    <w:rPr>
                      <w:color w:val="1F497D" w:themeColor="text2"/>
                    </w:rPr>
                  </w:pPr>
                  <w:r>
                    <w:rPr>
                      <w:color w:val="1F497D" w:themeColor="text2"/>
                    </w:rPr>
                    <w:t>Über verschiedene Zwischenschritte wird in diesem Versuch Ammoniak aus dem Stickstoff der Luft und den Wasserstoffatomen in Wasser hergestellt.</w:t>
                  </w:r>
                </w:p>
              </w:txbxContent>
            </v:textbox>
            <w10:wrap type="square"/>
          </v:shape>
        </w:pict>
      </w:r>
      <w:bookmarkStart w:id="0" w:name="_Toc396173299"/>
      <w:r w:rsidR="00C935B3">
        <w:t>V1 – Ammoniak: Die teure, schnelle Synthese</w:t>
      </w:r>
      <w:bookmarkEnd w:id="0"/>
    </w:p>
    <w:p w:rsidR="00C935B3" w:rsidRDefault="00C935B3" w:rsidP="00C935B3">
      <w:pPr>
        <w:tabs>
          <w:tab w:val="left" w:pos="1701"/>
          <w:tab w:val="left" w:pos="1985"/>
        </w:tabs>
        <w:ind w:left="1980" w:hanging="1980"/>
        <w:rPr>
          <w:color w:val="1F497D" w:themeColor="text2"/>
        </w:rPr>
      </w:pPr>
    </w:p>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C935B3" w:rsidRPr="009C5E28" w:rsidTr="00510FEA">
        <w:tc>
          <w:tcPr>
            <w:tcW w:w="9214" w:type="dxa"/>
            <w:gridSpan w:val="9"/>
            <w:shd w:val="clear" w:color="auto" w:fill="4F81BD"/>
            <w:vAlign w:val="center"/>
          </w:tcPr>
          <w:p w:rsidR="00C935B3" w:rsidRPr="009C5E28" w:rsidRDefault="00C935B3" w:rsidP="00510FEA">
            <w:pPr>
              <w:spacing w:after="0"/>
              <w:jc w:val="center"/>
              <w:rPr>
                <w:b/>
                <w:bCs/>
              </w:rPr>
            </w:pPr>
            <w:r w:rsidRPr="009C5E28">
              <w:rPr>
                <w:b/>
                <w:bCs/>
              </w:rPr>
              <w:t>Gefahrenstoffe</w:t>
            </w:r>
          </w:p>
        </w:tc>
      </w:tr>
      <w:tr w:rsidR="00C935B3"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C935B3" w:rsidRPr="00F206BE" w:rsidRDefault="00C935B3" w:rsidP="00510FEA">
            <w:pPr>
              <w:spacing w:after="0" w:line="276" w:lineRule="auto"/>
              <w:jc w:val="center"/>
              <w:rPr>
                <w:bCs/>
              </w:rPr>
            </w:pPr>
            <w:r w:rsidRPr="00F206BE">
              <w:rPr>
                <w:bCs/>
              </w:rPr>
              <w:t>Magnesiumspäne</w:t>
            </w:r>
          </w:p>
        </w:tc>
        <w:tc>
          <w:tcPr>
            <w:tcW w:w="3177" w:type="dxa"/>
            <w:gridSpan w:val="3"/>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sz w:val="20"/>
              </w:rPr>
              <w:t>H: 228-261-252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935B3" w:rsidRPr="009C5E28" w:rsidRDefault="00C935B3" w:rsidP="00510FEA">
            <w:pPr>
              <w:spacing w:after="0"/>
              <w:jc w:val="center"/>
            </w:pPr>
            <w:r>
              <w:rPr>
                <w:sz w:val="20"/>
              </w:rPr>
              <w:t>P: 210-402+404</w:t>
            </w:r>
          </w:p>
        </w:tc>
      </w:tr>
      <w:tr w:rsidR="00C935B3"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C935B3" w:rsidRDefault="00C935B3" w:rsidP="00510FEA">
            <w:pPr>
              <w:spacing w:after="0" w:line="276" w:lineRule="auto"/>
              <w:jc w:val="center"/>
              <w:rPr>
                <w:sz w:val="20"/>
              </w:rPr>
            </w:pPr>
            <w:r>
              <w:rPr>
                <w:sz w:val="20"/>
              </w:rPr>
              <w:t>Magnesiumband</w:t>
            </w:r>
          </w:p>
        </w:tc>
        <w:tc>
          <w:tcPr>
            <w:tcW w:w="3177" w:type="dxa"/>
            <w:gridSpan w:val="3"/>
            <w:tcBorders>
              <w:top w:val="single" w:sz="8" w:space="0" w:color="4F81BD"/>
              <w:bottom w:val="single" w:sz="8" w:space="0" w:color="4F81BD"/>
            </w:tcBorders>
            <w:shd w:val="clear" w:color="auto" w:fill="auto"/>
            <w:vAlign w:val="center"/>
          </w:tcPr>
          <w:p w:rsidR="00C935B3" w:rsidRDefault="00C935B3" w:rsidP="00510FE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935B3" w:rsidRDefault="00C935B3" w:rsidP="00510FEA">
            <w:pPr>
              <w:spacing w:after="0"/>
              <w:jc w:val="center"/>
              <w:rPr>
                <w:sz w:val="20"/>
              </w:rPr>
            </w:pPr>
            <w:r>
              <w:rPr>
                <w:sz w:val="20"/>
              </w:rPr>
              <w:t>P: -</w:t>
            </w:r>
          </w:p>
        </w:tc>
      </w:tr>
      <w:tr w:rsidR="00C935B3" w:rsidRPr="009C5E28" w:rsidTr="00510FEA">
        <w:tc>
          <w:tcPr>
            <w:tcW w:w="901" w:type="dxa"/>
            <w:tcBorders>
              <w:top w:val="single" w:sz="8" w:space="0" w:color="4F81BD"/>
              <w:left w:val="single" w:sz="8" w:space="0" w:color="4F81BD"/>
              <w:bottom w:val="single" w:sz="8" w:space="0" w:color="4F81BD"/>
            </w:tcBorders>
            <w:shd w:val="clear" w:color="auto" w:fill="auto"/>
            <w:vAlign w:val="center"/>
          </w:tcPr>
          <w:p w:rsidR="00C935B3" w:rsidRPr="009C5E28" w:rsidRDefault="00C935B3" w:rsidP="00510FEA">
            <w:pPr>
              <w:spacing w:after="0"/>
              <w:jc w:val="center"/>
              <w:rPr>
                <w:b/>
                <w:bCs/>
              </w:rPr>
            </w:pPr>
            <w:r>
              <w:rPr>
                <w:b/>
                <w:noProof/>
                <w:lang w:eastAsia="de-DE"/>
              </w:rPr>
              <w:drawing>
                <wp:inline distT="0" distB="0" distL="0" distR="0">
                  <wp:extent cx="504190" cy="504190"/>
                  <wp:effectExtent l="19050" t="0" r="0" b="0"/>
                  <wp:docPr id="3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4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082" cy="504000"/>
                  <wp:effectExtent l="19050" t="0" r="0" b="0"/>
                  <wp:docPr id="41" name="Bild 4"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Piktogramme\Brennbar.png"/>
                          <pic:cNvPicPr>
                            <a:picLocks noChangeAspect="1" noChangeArrowheads="1"/>
                          </pic:cNvPicPr>
                        </pic:nvPicPr>
                        <pic:blipFill>
                          <a:blip r:embed="rId7" cstate="screen"/>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4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5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5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11175" cy="511175"/>
                  <wp:effectExtent l="19050" t="0" r="3175" b="0"/>
                  <wp:docPr id="5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35B3" w:rsidRPr="009C5E28" w:rsidRDefault="00C935B3" w:rsidP="00510FEA">
            <w:pPr>
              <w:spacing w:after="0"/>
              <w:jc w:val="center"/>
            </w:pPr>
            <w:r>
              <w:rPr>
                <w:noProof/>
                <w:lang w:eastAsia="de-DE"/>
              </w:rPr>
              <w:drawing>
                <wp:inline distT="0" distB="0" distL="0" distR="0">
                  <wp:extent cx="504190" cy="504190"/>
                  <wp:effectExtent l="0" t="0" r="0" b="0"/>
                  <wp:docPr id="6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935B3" w:rsidRDefault="00C935B3" w:rsidP="00C935B3">
      <w:pPr>
        <w:tabs>
          <w:tab w:val="left" w:pos="1701"/>
          <w:tab w:val="left" w:pos="1985"/>
        </w:tabs>
        <w:ind w:left="1980" w:hanging="1980"/>
      </w:pPr>
    </w:p>
    <w:p w:rsidR="00C935B3" w:rsidRDefault="00C935B3" w:rsidP="00C935B3">
      <w:pPr>
        <w:pStyle w:val="Textkrper"/>
        <w:ind w:left="2124" w:hanging="2124"/>
      </w:pPr>
      <w:r>
        <w:t xml:space="preserve">Materialien: </w:t>
      </w:r>
      <w:r>
        <w:tab/>
        <w:t xml:space="preserve">Dreifuß mit Drahtnetz, 250 </w:t>
      </w:r>
      <w:proofErr w:type="spellStart"/>
      <w:r>
        <w:t>mL</w:t>
      </w:r>
      <w:proofErr w:type="spellEnd"/>
      <w:r>
        <w:t xml:space="preserve"> Becherglas, 2 Glasstäbe, Gasbrenner, Porzellanschale, Universalindikator-Papier</w:t>
      </w:r>
    </w:p>
    <w:p w:rsidR="00C935B3" w:rsidRPr="00ED07C2" w:rsidRDefault="00C935B3" w:rsidP="00C935B3">
      <w:pPr>
        <w:pStyle w:val="Textkrper"/>
      </w:pPr>
      <w:r>
        <w:t>Chemikalien:</w:t>
      </w:r>
      <w:r>
        <w:tab/>
      </w:r>
      <w:r>
        <w:tab/>
        <w:t>Magnesiumspäne, Magnesiumband</w:t>
      </w:r>
    </w:p>
    <w:p w:rsidR="00C935B3" w:rsidRDefault="00C935B3" w:rsidP="00C935B3">
      <w:pPr>
        <w:pStyle w:val="Textkrper"/>
        <w:ind w:left="2124" w:hanging="2124"/>
      </w:pPr>
      <w:r>
        <w:t xml:space="preserve">Durchführung: </w:t>
      </w:r>
      <w:r>
        <w:tab/>
        <w:t xml:space="preserve">Auf der </w:t>
      </w:r>
      <w:proofErr w:type="spellStart"/>
      <w:r>
        <w:t>Ceranplatte</w:t>
      </w:r>
      <w:proofErr w:type="spellEnd"/>
      <w:r>
        <w:t xml:space="preserve"> wird ein etwa 3 cm hoher Kegel Magnesiumspäne gegeben. Das Magnesiumband wird als Lunte in den unteren Teil des Kegels gesteckt. Das Becherglas wird auf dem Kopf im Stativ befestigt, sodass ein schmaler Spalt zwischen dem Drahtnetz und dem Becherglas besteht. Das Magnesiumband wird dann mit dem Brenner entzündet und das Becherglas über das Magnesium befestigt.</w:t>
      </w:r>
    </w:p>
    <w:p w:rsidR="00C935B3" w:rsidRDefault="00C935B3" w:rsidP="00C935B3">
      <w:pPr>
        <w:pStyle w:val="Textkrper"/>
        <w:ind w:left="2124" w:hanging="2124"/>
      </w:pPr>
      <w:r>
        <w:tab/>
        <w:t>Nach dem Erkalten wird das Reaktionsprodukt zerkleinert und in die Porzellanschale gegeben. Nun wird das Produkt mit Wasser übergossen. Es wird vorsichtig eine Geruchsprobe genommen und das entweichende Gas mit feuchtem Indikatorpapier überprüft.</w:t>
      </w:r>
    </w:p>
    <w:p w:rsidR="00C935B3" w:rsidRDefault="00C935B3" w:rsidP="00C935B3">
      <w:pPr>
        <w:pStyle w:val="Textkrper"/>
        <w:ind w:left="2124" w:hanging="2124"/>
      </w:pPr>
    </w:p>
    <w:p w:rsidR="00C935B3" w:rsidRDefault="00C935B3" w:rsidP="00C935B3">
      <w:pPr>
        <w:pStyle w:val="Textkrper"/>
        <w:ind w:left="2124" w:hanging="2124"/>
      </w:pPr>
    </w:p>
    <w:p w:rsidR="00C935B3" w:rsidRDefault="00C935B3" w:rsidP="00C935B3">
      <w:pPr>
        <w:pStyle w:val="Textkrper"/>
        <w:ind w:left="2124" w:hanging="2124"/>
      </w:pPr>
    </w:p>
    <w:p w:rsidR="00C935B3" w:rsidRDefault="00C935B3" w:rsidP="00C935B3">
      <w:pPr>
        <w:pStyle w:val="Textkrper"/>
        <w:ind w:left="2124" w:hanging="2124"/>
      </w:pPr>
      <w:r>
        <w:lastRenderedPageBreak/>
        <w:t>Beobachtung:</w:t>
      </w:r>
      <w:r>
        <w:tab/>
      </w:r>
    </w:p>
    <w:p w:rsidR="00C935B3" w:rsidRDefault="00C935B3" w:rsidP="00C935B3">
      <w:pPr>
        <w:pStyle w:val="Textkrper"/>
        <w:spacing w:after="0"/>
        <w:ind w:left="2124" w:hanging="2124"/>
      </w:pPr>
      <w:r>
        <w:rPr>
          <w:noProof/>
          <w:lang w:eastAsia="de-DE"/>
        </w:rPr>
        <w:drawing>
          <wp:inline distT="0" distB="0" distL="0" distR="0">
            <wp:extent cx="5760720" cy="1195268"/>
            <wp:effectExtent l="19050" t="0" r="0" b="0"/>
            <wp:docPr id="24" name="Bild 11" descr="C:\Users\Public\Documents\UNI\SoSe14\SVP-chemie\Metalle_und_Nichtmetalle\fotos\nh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ublic\Documents\UNI\SoSe14\SVP-chemie\Metalle_und_Nichtmetalle\fotos\nh3_2.png"/>
                    <pic:cNvPicPr>
                      <a:picLocks noChangeAspect="1" noChangeArrowheads="1"/>
                    </pic:cNvPicPr>
                  </pic:nvPicPr>
                  <pic:blipFill>
                    <a:blip r:embed="rId14" cstate="screen"/>
                    <a:srcRect/>
                    <a:stretch>
                      <a:fillRect/>
                    </a:stretch>
                  </pic:blipFill>
                  <pic:spPr bwMode="auto">
                    <a:xfrm>
                      <a:off x="0" y="0"/>
                      <a:ext cx="5760720" cy="1195268"/>
                    </a:xfrm>
                    <a:prstGeom prst="rect">
                      <a:avLst/>
                    </a:prstGeom>
                    <a:noFill/>
                    <a:ln w="9525">
                      <a:noFill/>
                      <a:miter lim="800000"/>
                      <a:headEnd/>
                      <a:tailEnd/>
                    </a:ln>
                  </pic:spPr>
                </pic:pic>
              </a:graphicData>
            </a:graphic>
          </wp:inline>
        </w:drawing>
      </w:r>
    </w:p>
    <w:p w:rsidR="00C935B3" w:rsidRDefault="00C935B3" w:rsidP="00C935B3">
      <w:pPr>
        <w:pStyle w:val="Beschriftung"/>
        <w:jc w:val="left"/>
      </w:pPr>
      <w:r>
        <w:t xml:space="preserve">Abbildung </w:t>
      </w:r>
      <w:fldSimple w:instr=" SEQ Abbildung \* ARABIC ">
        <w:r>
          <w:rPr>
            <w:noProof/>
          </w:rPr>
          <w:t>1</w:t>
        </w:r>
      </w:fldSimple>
      <w:r>
        <w:t>: Entzünden des Magnesiumbands (links), brennendes Magnesium unter dem Becherglas (rechts).</w:t>
      </w:r>
    </w:p>
    <w:p w:rsidR="00C935B3" w:rsidRDefault="00C935B3" w:rsidP="00C935B3">
      <w:pPr>
        <w:pStyle w:val="Textkrper"/>
        <w:ind w:left="2124"/>
      </w:pPr>
      <w:r>
        <w:t>Das Magnesium brennt mit heller Flamme unter dem Becherglas. Es entsteht Rauch.</w:t>
      </w:r>
    </w:p>
    <w:p w:rsidR="00C935B3" w:rsidRPr="00474788" w:rsidRDefault="00C935B3" w:rsidP="00C935B3">
      <w:pPr>
        <w:pStyle w:val="Textkrper"/>
        <w:ind w:left="2124"/>
      </w:pPr>
      <w:r>
        <w:t>Innerhalb des kegelförmigen Produkthäufchens ist ein grüngelber Feststoff entstanden. Beim Lösen in Wasser entsteht ein stechender Geruch nach Ammoniak und das Indikatorpapier färbt sich grünblau.</w:t>
      </w:r>
    </w:p>
    <w:p w:rsidR="00C935B3" w:rsidRDefault="00C935B3" w:rsidP="00C935B3">
      <w:pPr>
        <w:pStyle w:val="Textkrper"/>
        <w:ind w:left="2124" w:hanging="2124"/>
      </w:pPr>
      <w:r>
        <w:t>Deutung:</w:t>
      </w:r>
      <w:r>
        <w:tab/>
      </w:r>
      <m:oMath>
        <m:r>
          <w:rPr>
            <w:rFonts w:ascii="Cambria Math" w:hAnsi="Cambria Math"/>
          </w:rPr>
          <m:t>2</m:t>
        </m:r>
        <m:sSub>
          <m:sSubPr>
            <m:ctrlPr>
              <w:rPr>
                <w:rFonts w:ascii="Cambria Math" w:hAnsi="Cambria Math"/>
                <w:i/>
              </w:rPr>
            </m:ctrlPr>
          </m:sSubPr>
          <m:e>
            <m:r>
              <w:rPr>
                <w:rFonts w:ascii="Cambria Math" w:hAnsi="Cambria Math"/>
              </w:rPr>
              <m:t>Mg</m:t>
            </m:r>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2(g)</m:t>
            </m:r>
          </m:sub>
        </m:sSub>
        <m:r>
          <w:rPr>
            <w:rFonts w:ascii="Cambria Math" w:hAnsi="Cambria Math"/>
          </w:rPr>
          <m:t xml:space="preserve">  →  2</m:t>
        </m:r>
        <m:sSub>
          <m:sSubPr>
            <m:ctrlPr>
              <w:rPr>
                <w:rFonts w:ascii="Cambria Math" w:hAnsi="Cambria Math"/>
                <w:i/>
              </w:rPr>
            </m:ctrlPr>
          </m:sSubPr>
          <m:e>
            <m:r>
              <w:rPr>
                <w:rFonts w:ascii="Cambria Math" w:hAnsi="Cambria Math"/>
              </w:rPr>
              <m:t>MgO</m:t>
            </m:r>
          </m:e>
          <m:sub>
            <m:r>
              <w:rPr>
                <w:rFonts w:ascii="Cambria Math" w:hAnsi="Cambria Math"/>
              </w:rPr>
              <m:t>(s)</m:t>
            </m:r>
          </m:sub>
        </m:sSub>
      </m:oMath>
    </w:p>
    <w:p w:rsidR="00C935B3" w:rsidRDefault="00C935B3" w:rsidP="00C935B3">
      <w:pPr>
        <w:pStyle w:val="Textkrper"/>
        <w:ind w:left="2124"/>
      </w:pPr>
      <w:r>
        <w:t>An der Außenseite des Kegels reagiert das Magnesium mit Sauerstoff zu Magnesiumoxid.</w:t>
      </w:r>
    </w:p>
    <w:p w:rsidR="00C935B3" w:rsidRDefault="00C935B3" w:rsidP="00C935B3">
      <w:pPr>
        <w:pStyle w:val="Textkrper"/>
        <w:ind w:left="1416" w:firstLine="708"/>
        <w:rPr>
          <w:vertAlign w:val="subscript"/>
        </w:rPr>
      </w:pPr>
      <w:r w:rsidRPr="0097365F">
        <w:t>3Mg</w:t>
      </w:r>
      <w:r w:rsidRPr="0097365F">
        <w:rPr>
          <w:vertAlign w:val="subscript"/>
        </w:rPr>
        <w:t>(s)</w:t>
      </w:r>
      <w:r w:rsidRPr="0097365F">
        <w:t xml:space="preserve"> + 2N</w:t>
      </w:r>
      <w:r w:rsidRPr="0097365F">
        <w:rPr>
          <w:vertAlign w:val="subscript"/>
        </w:rPr>
        <w:t>2(g)</w:t>
      </w:r>
      <w:r w:rsidRPr="0097365F">
        <w:t xml:space="preserve"> </w:t>
      </w:r>
      <w:r>
        <w:sym w:font="Wingdings" w:char="F0E0"/>
      </w:r>
      <w:r w:rsidRPr="0097365F">
        <w:t xml:space="preserve"> Mg</w:t>
      </w:r>
      <w:r w:rsidRPr="0097365F">
        <w:rPr>
          <w:vertAlign w:val="subscript"/>
        </w:rPr>
        <w:t>3</w:t>
      </w:r>
      <w:r w:rsidRPr="0097365F">
        <w:t>N</w:t>
      </w:r>
      <w:r w:rsidRPr="0097365F">
        <w:rPr>
          <w:vertAlign w:val="subscript"/>
        </w:rPr>
        <w:t>2(s)</w:t>
      </w:r>
    </w:p>
    <w:p w:rsidR="00C935B3" w:rsidRPr="006A7AC1" w:rsidRDefault="00C935B3" w:rsidP="00C935B3">
      <w:pPr>
        <w:pStyle w:val="Textkrper"/>
        <w:ind w:left="2124" w:firstLine="6"/>
      </w:pPr>
      <w:r>
        <w:t>Bei der Verbrennung unter dem Becherglas entsteht Magnesiumnitrid, ein grüngelber Feststoff in der Mitte des Kegels.</w:t>
      </w:r>
    </w:p>
    <w:p w:rsidR="00C935B3" w:rsidRDefault="00C935B3" w:rsidP="00C935B3">
      <w:pPr>
        <w:pStyle w:val="Textkrper"/>
        <w:ind w:left="1416" w:firstLine="708"/>
        <w:rPr>
          <w:vertAlign w:val="subscript"/>
          <w:lang w:val="en-US"/>
        </w:rPr>
      </w:pPr>
      <w:r w:rsidRPr="00A65148">
        <w:rPr>
          <w:lang w:val="en-US"/>
        </w:rPr>
        <w:t>Mg</w:t>
      </w:r>
      <w:r w:rsidRPr="00A65148">
        <w:rPr>
          <w:vertAlign w:val="subscript"/>
          <w:lang w:val="en-US"/>
        </w:rPr>
        <w:t>3</w:t>
      </w:r>
      <w:r w:rsidRPr="00A65148">
        <w:rPr>
          <w:lang w:val="en-US"/>
        </w:rPr>
        <w:t>N</w:t>
      </w:r>
      <w:r w:rsidRPr="00A65148">
        <w:rPr>
          <w:vertAlign w:val="subscript"/>
          <w:lang w:val="en-US"/>
        </w:rPr>
        <w:t>2(s)</w:t>
      </w:r>
      <w:r w:rsidRPr="00A65148">
        <w:rPr>
          <w:lang w:val="en-US"/>
        </w:rPr>
        <w:t xml:space="preserve"> + </w:t>
      </w:r>
      <w:proofErr w:type="gramStart"/>
      <w:r w:rsidRPr="00A65148">
        <w:rPr>
          <w:lang w:val="en-US"/>
        </w:rPr>
        <w:t>3H</w:t>
      </w:r>
      <w:r w:rsidRPr="00A65148">
        <w:rPr>
          <w:vertAlign w:val="subscript"/>
          <w:lang w:val="en-US"/>
        </w:rPr>
        <w:t>2</w:t>
      </w:r>
      <w:r w:rsidRPr="00A65148">
        <w:rPr>
          <w:lang w:val="en-US"/>
        </w:rPr>
        <w:t>O</w:t>
      </w:r>
      <w:r w:rsidRPr="00A65148">
        <w:rPr>
          <w:vertAlign w:val="subscript"/>
          <w:lang w:val="en-US"/>
        </w:rPr>
        <w:t>(</w:t>
      </w:r>
      <w:proofErr w:type="gramEnd"/>
      <w:r w:rsidRPr="00A65148">
        <w:rPr>
          <w:vertAlign w:val="subscript"/>
          <w:lang w:val="en-US"/>
        </w:rPr>
        <w:t>l)</w:t>
      </w:r>
      <w:r w:rsidRPr="00A65148">
        <w:rPr>
          <w:lang w:val="en-US"/>
        </w:rPr>
        <w:t xml:space="preserve"> </w:t>
      </w:r>
      <w:r>
        <w:sym w:font="Wingdings" w:char="F0E0"/>
      </w:r>
      <w:r w:rsidRPr="00A65148">
        <w:rPr>
          <w:lang w:val="en-US"/>
        </w:rPr>
        <w:t xml:space="preserve"> 3MgO</w:t>
      </w:r>
      <w:r w:rsidRPr="00A65148">
        <w:rPr>
          <w:vertAlign w:val="subscript"/>
          <w:lang w:val="en-US"/>
        </w:rPr>
        <w:t>(s)</w:t>
      </w:r>
      <w:r>
        <w:rPr>
          <w:lang w:val="en-US"/>
        </w:rPr>
        <w:t xml:space="preserve"> + 2NH</w:t>
      </w:r>
      <w:r w:rsidRPr="00A65148">
        <w:rPr>
          <w:vertAlign w:val="subscript"/>
          <w:lang w:val="en-US"/>
        </w:rPr>
        <w:t>3(g)</w:t>
      </w:r>
    </w:p>
    <w:p w:rsidR="00C935B3" w:rsidRPr="006A7AC1" w:rsidRDefault="00C935B3" w:rsidP="00C935B3">
      <w:pPr>
        <w:pStyle w:val="Textkrper"/>
        <w:ind w:left="1416" w:firstLine="708"/>
      </w:pPr>
      <w:r w:rsidRPr="006A7AC1">
        <w:t>M</w:t>
      </w:r>
      <w:r>
        <w:t>agnesiumnitrid reagiert mit Wasser zu Magnesiumoxid und Ammoniak.</w:t>
      </w:r>
    </w:p>
    <w:p w:rsidR="00C935B3" w:rsidRDefault="00C935B3" w:rsidP="00C935B3">
      <w:pPr>
        <w:pStyle w:val="Textkrper"/>
      </w:pPr>
      <w:r>
        <w:t>Entsorgung:</w:t>
      </w:r>
      <w:r>
        <w:tab/>
      </w:r>
      <w:r>
        <w:tab/>
        <w:t>Entsorgung erfolgt im Säure-Base-Behälter</w:t>
      </w:r>
    </w:p>
    <w:p w:rsidR="00C935B3" w:rsidRDefault="005D42BE" w:rsidP="00C935B3">
      <w:pPr>
        <w:pStyle w:val="Textkrper"/>
        <w:ind w:left="2124" w:hanging="2124"/>
      </w:pPr>
      <w:r w:rsidRPr="005D42BE">
        <w:rPr>
          <w:rFonts w:eastAsiaTheme="minorEastAsia"/>
          <w:noProof/>
          <w:lang w:eastAsia="de-DE"/>
        </w:rPr>
        <w:pict>
          <v:shape id="_x0000_s1027" type="#_x0000_t202" style="position:absolute;left:0;text-align:left;margin-left:-1.35pt;margin-top:48.35pt;width:462.45pt;height:114.55pt;z-index:251661312;mso-width-relative:margin;mso-height-relative:margin" fillcolor="white [3201]" strokecolor="#f79646 [3209]" strokeweight="1pt">
            <v:stroke dashstyle="dash"/>
            <v:shadow color="#868686"/>
            <v:textbox style="mso-next-textbox:#_x0000_s1027">
              <w:txbxContent>
                <w:p w:rsidR="00C935B3" w:rsidRDefault="00C935B3" w:rsidP="00C935B3">
                  <w:pPr>
                    <w:rPr>
                      <w:color w:val="1F497D" w:themeColor="text2"/>
                    </w:rPr>
                  </w:pPr>
                  <w:r>
                    <w:rPr>
                      <w:color w:val="1F497D" w:themeColor="text2"/>
                    </w:rPr>
                    <w:t xml:space="preserve">Dieser Versuch eignet sich, um den Energieaufwand der Ammoniaksynthese aus dem Stickstoff der Luft zu verdeutlichen, auch wenn dieses Verfahren nicht mit großtechnischen Verfahren vergleichbar </w:t>
                  </w:r>
                  <w:proofErr w:type="gramStart"/>
                  <w:r>
                    <w:rPr>
                      <w:color w:val="1F497D" w:themeColor="text2"/>
                    </w:rPr>
                    <w:t>sind</w:t>
                  </w:r>
                  <w:proofErr w:type="gramEnd"/>
                  <w:r>
                    <w:rPr>
                      <w:color w:val="1F497D" w:themeColor="text2"/>
                    </w:rPr>
                    <w:t xml:space="preserve">. </w:t>
                  </w:r>
                </w:p>
                <w:p w:rsidR="00C935B3" w:rsidRPr="000D10FB" w:rsidRDefault="00C935B3" w:rsidP="00C935B3">
                  <w:pPr>
                    <w:rPr>
                      <w:color w:val="1F497D" w:themeColor="text2"/>
                    </w:rPr>
                  </w:pPr>
                  <w:r>
                    <w:rPr>
                      <w:color w:val="1F497D" w:themeColor="text2"/>
                    </w:rPr>
                    <w:t>Nach diesem Versuch sind die Thematisierung des Haber-Bosch-Verfahrens und des Stickstoffkreislaufs sinnvoll.</w:t>
                  </w:r>
                </w:p>
              </w:txbxContent>
            </v:textbox>
            <w10:wrap type="square"/>
          </v:shape>
        </w:pict>
      </w:r>
      <w:r w:rsidR="00C935B3">
        <w:t>Literatur:</w:t>
      </w:r>
      <w:r w:rsidR="00C935B3">
        <w:tab/>
        <w:t xml:space="preserve">H. Schmidkunz, W. </w:t>
      </w:r>
      <w:proofErr w:type="spellStart"/>
      <w:r w:rsidR="00C935B3">
        <w:t>Rentzsch</w:t>
      </w:r>
      <w:proofErr w:type="spellEnd"/>
      <w:r w:rsidR="00C935B3">
        <w:t xml:space="preserve">, Chemische Freihandversuche Band 1, </w:t>
      </w:r>
      <w:proofErr w:type="spellStart"/>
      <w:r w:rsidR="00C935B3">
        <w:t>Aulis</w:t>
      </w:r>
      <w:proofErr w:type="spellEnd"/>
      <w:r w:rsidR="00C935B3">
        <w:t xml:space="preserve"> Verlag, 2011, S. 162.</w:t>
      </w:r>
    </w:p>
    <w:p w:rsidR="00C935B3" w:rsidRDefault="00C935B3" w:rsidP="00C935B3">
      <w:pPr>
        <w:pStyle w:val="Textkrper"/>
      </w:pPr>
    </w:p>
    <w:sectPr w:rsidR="00C935B3" w:rsidSect="00297E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C935B3"/>
    <w:rsid w:val="00297E17"/>
    <w:rsid w:val="005D42BE"/>
    <w:rsid w:val="006627D7"/>
    <w:rsid w:val="00782CDC"/>
    <w:rsid w:val="008C519C"/>
    <w:rsid w:val="00A03264"/>
    <w:rsid w:val="00C935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35B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935B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5B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35B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35B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935B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935B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935B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35B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35B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5B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935B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935B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935B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935B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935B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935B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35B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35B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35B3"/>
    <w:pPr>
      <w:spacing w:line="240" w:lineRule="auto"/>
    </w:pPr>
    <w:rPr>
      <w:bCs/>
      <w:color w:val="auto"/>
      <w:sz w:val="18"/>
      <w:szCs w:val="18"/>
    </w:rPr>
  </w:style>
  <w:style w:type="paragraph" w:styleId="Textkrper">
    <w:name w:val="Body Text"/>
    <w:basedOn w:val="Standard"/>
    <w:link w:val="TextkrperZchn"/>
    <w:uiPriority w:val="99"/>
    <w:unhideWhenUsed/>
    <w:rsid w:val="00C935B3"/>
    <w:pPr>
      <w:spacing w:after="120"/>
    </w:pPr>
  </w:style>
  <w:style w:type="character" w:customStyle="1" w:styleId="TextkrperZchn">
    <w:name w:val="Textkörper Zchn"/>
    <w:basedOn w:val="Absatz-Standardschriftart"/>
    <w:link w:val="Textkrper"/>
    <w:uiPriority w:val="99"/>
    <w:rsid w:val="00C935B3"/>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C935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5B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1676</Characters>
  <Application>Microsoft Office Word</Application>
  <DocSecurity>0</DocSecurity>
  <Lines>13</Lines>
  <Paragraphs>3</Paragraphs>
  <ScaleCrop>false</ScaleCrop>
  <Company>Frost-RL</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2014-08-27T10:49:00Z</dcterms:created>
  <dcterms:modified xsi:type="dcterms:W3CDTF">2014-08-27T12:43:00Z</dcterms:modified>
</cp:coreProperties>
</file>