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38" w:rsidRDefault="00F37C38" w:rsidP="00F37C38">
      <w:pPr>
        <w:pStyle w:val="berschrift2"/>
        <w:numPr>
          <w:ilvl w:val="0"/>
          <w:numId w:val="0"/>
        </w:numPr>
        <w:ind w:left="576" w:hanging="576"/>
      </w:pPr>
      <w:bookmarkStart w:id="0" w:name="_Toc396173304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45pt;margin-top:41.15pt;width:462.45pt;height:42.8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F37C38" w:rsidRPr="000D10FB" w:rsidRDefault="00F37C38" w:rsidP="00F37C38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>In diesem Versuch mit Ammoniak aus einem Ammoniumsalz gewonnen. Ionische Bindungen und Elektronenpaar-Bindungen sind notwendiges Vorwissen für die Deutung dieses Versuchs.</w:t>
                  </w:r>
                </w:p>
              </w:txbxContent>
            </v:textbox>
            <w10:wrap type="square"/>
          </v:shape>
        </w:pict>
      </w:r>
      <w:r>
        <w:t>V5 – Ammoniak: Das stechende Gas</w:t>
      </w:r>
      <w:bookmarkEnd w:id="0"/>
    </w:p>
    <w:p w:rsidR="00F37C38" w:rsidRPr="004871DA" w:rsidRDefault="00F37C38" w:rsidP="00F37C38">
      <w:pPr>
        <w:spacing w:line="276" w:lineRule="auto"/>
        <w:jc w:val="left"/>
      </w:pPr>
    </w:p>
    <w:tbl>
      <w:tblPr>
        <w:tblW w:w="9214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901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F37C38" w:rsidRPr="009C5E28" w:rsidTr="00510FEA">
        <w:tc>
          <w:tcPr>
            <w:tcW w:w="9214" w:type="dxa"/>
            <w:gridSpan w:val="9"/>
            <w:shd w:val="clear" w:color="auto" w:fill="4F81BD"/>
            <w:vAlign w:val="center"/>
          </w:tcPr>
          <w:p w:rsidR="00F37C38" w:rsidRPr="009C5E28" w:rsidRDefault="00F37C38" w:rsidP="00510FEA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F37C38" w:rsidRPr="009C5E28" w:rsidTr="00510FEA">
        <w:trPr>
          <w:trHeight w:val="437"/>
        </w:trPr>
        <w:tc>
          <w:tcPr>
            <w:tcW w:w="291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37C38" w:rsidRPr="000E7879" w:rsidRDefault="00F37C38" w:rsidP="00510FEA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Natronlauge (10%)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37C38" w:rsidRPr="000E7879" w:rsidRDefault="00F37C38" w:rsidP="00510FEA">
            <w:pPr>
              <w:spacing w:after="0"/>
              <w:jc w:val="center"/>
              <w:rPr>
                <w:sz w:val="20"/>
                <w:szCs w:val="20"/>
              </w:rPr>
            </w:pPr>
            <w:r w:rsidRPr="000E7879">
              <w:rPr>
                <w:sz w:val="20"/>
                <w:szCs w:val="20"/>
              </w:rPr>
              <w:t xml:space="preserve">H: </w:t>
            </w:r>
            <w:r>
              <w:rPr>
                <w:sz w:val="20"/>
                <w:szCs w:val="20"/>
              </w:rPr>
              <w:t>314-</w:t>
            </w:r>
            <w:r w:rsidRPr="00DE5517">
              <w:rPr>
                <w:sz w:val="20"/>
                <w:szCs w:val="20"/>
              </w:rPr>
              <w:t>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37C38" w:rsidRPr="000E7879" w:rsidRDefault="00F37C38" w:rsidP="00510FEA">
            <w:pPr>
              <w:spacing w:after="0"/>
              <w:jc w:val="center"/>
              <w:rPr>
                <w:sz w:val="20"/>
                <w:szCs w:val="20"/>
              </w:rPr>
            </w:pPr>
            <w:r w:rsidRPr="000E7879">
              <w:rPr>
                <w:sz w:val="20"/>
                <w:szCs w:val="20"/>
              </w:rPr>
              <w:t xml:space="preserve">P: </w:t>
            </w:r>
            <w:r w:rsidRPr="00DE551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0-301+330+331-305+351+338</w:t>
            </w:r>
            <w:r w:rsidRPr="00DE5517">
              <w:rPr>
                <w:sz w:val="20"/>
                <w:szCs w:val="20"/>
              </w:rPr>
              <w:t xml:space="preserve"> </w:t>
            </w:r>
          </w:p>
        </w:tc>
      </w:tr>
      <w:tr w:rsidR="00F37C38" w:rsidRPr="009C5E28" w:rsidTr="00510FEA">
        <w:trPr>
          <w:trHeight w:val="437"/>
        </w:trPr>
        <w:tc>
          <w:tcPr>
            <w:tcW w:w="291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37C38" w:rsidRDefault="00F37C38" w:rsidP="00510FEA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Ammoniumchlorid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37C38" w:rsidRPr="000E7879" w:rsidRDefault="00F37C38" w:rsidP="00510F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</w:t>
            </w:r>
            <w:r>
              <w:t xml:space="preserve"> </w:t>
            </w:r>
            <w:r>
              <w:rPr>
                <w:sz w:val="20"/>
                <w:szCs w:val="20"/>
              </w:rPr>
              <w:t>302-</w:t>
            </w:r>
            <w:r w:rsidRPr="00F7502E"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37C38" w:rsidRPr="000E7879" w:rsidRDefault="00F37C38" w:rsidP="00510F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305+351+</w:t>
            </w:r>
            <w:r w:rsidRPr="00F7502E">
              <w:rPr>
                <w:sz w:val="20"/>
                <w:szCs w:val="20"/>
              </w:rPr>
              <w:t>338</w:t>
            </w:r>
          </w:p>
        </w:tc>
      </w:tr>
      <w:tr w:rsidR="00F37C38" w:rsidRPr="009C5E28" w:rsidTr="00510FEA">
        <w:tc>
          <w:tcPr>
            <w:tcW w:w="9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37C38" w:rsidRPr="009C5E28" w:rsidRDefault="00F37C38" w:rsidP="00510FE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8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37C38" w:rsidRPr="009C5E28" w:rsidRDefault="00F37C38" w:rsidP="00510F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8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37C38" w:rsidRPr="009C5E28" w:rsidRDefault="00F37C38" w:rsidP="00510FEA">
            <w:pPr>
              <w:spacing w:after="0"/>
              <w:jc w:val="center"/>
            </w:pPr>
            <w:r w:rsidRPr="00474BFA">
              <w:rPr>
                <w:noProof/>
                <w:lang w:eastAsia="de-DE"/>
              </w:rPr>
              <w:drawing>
                <wp:inline distT="0" distB="0" distL="0" distR="0">
                  <wp:extent cx="504082" cy="504000"/>
                  <wp:effectExtent l="19050" t="0" r="0" b="0"/>
                  <wp:docPr id="79" name="Bild 9" descr="C:\Users\Public\Documents\UNI\SoSe14\SVP-chemi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ublic\Documents\UNI\SoSe14\SVP-chemi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82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37C38" w:rsidRPr="009C5E28" w:rsidRDefault="00F37C38" w:rsidP="00510F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0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37C38" w:rsidRPr="009C5E28" w:rsidRDefault="00F37C38" w:rsidP="00510F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2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37C38" w:rsidRPr="009C5E28" w:rsidRDefault="00F37C38" w:rsidP="00510F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3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37C38" w:rsidRPr="009C5E28" w:rsidRDefault="00F37C38" w:rsidP="00510F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4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37C38" w:rsidRPr="009C5E28" w:rsidRDefault="00F37C38" w:rsidP="00510F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85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37C38" w:rsidRPr="009C5E28" w:rsidRDefault="00F37C38" w:rsidP="00510F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899" cy="504000"/>
                  <wp:effectExtent l="19050" t="0" r="0" b="0"/>
                  <wp:docPr id="86" name="Bild 47" descr="C:\Users\Public\Documents\UNI\SoSe14\SVP-chemie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Public\Documents\UNI\SoSe14\SVP-chemie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99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7C38" w:rsidRDefault="00F37C38" w:rsidP="00F37C38">
      <w:pPr>
        <w:tabs>
          <w:tab w:val="left" w:pos="1701"/>
          <w:tab w:val="left" w:pos="1985"/>
        </w:tabs>
        <w:ind w:left="1980" w:hanging="1980"/>
      </w:pPr>
    </w:p>
    <w:p w:rsidR="00F37C38" w:rsidRDefault="00F37C38" w:rsidP="00F37C38">
      <w:pPr>
        <w:tabs>
          <w:tab w:val="left" w:pos="1701"/>
          <w:tab w:val="left" w:pos="1985"/>
        </w:tabs>
        <w:ind w:left="1979" w:hanging="1979"/>
      </w:pPr>
      <w:r>
        <w:t xml:space="preserve">Materialien: </w:t>
      </w:r>
      <w:r>
        <w:tab/>
      </w:r>
      <w:r>
        <w:tab/>
        <w:t>Reagenzglas, Spatel, Pipette, Pinzette, Indikatorpapier</w:t>
      </w:r>
    </w:p>
    <w:p w:rsidR="00F37C38" w:rsidRPr="00ED07C2" w:rsidRDefault="00F37C38" w:rsidP="00F37C38">
      <w:pPr>
        <w:tabs>
          <w:tab w:val="left" w:pos="1701"/>
          <w:tab w:val="left" w:pos="1985"/>
        </w:tabs>
        <w:ind w:left="1979" w:hanging="1979"/>
      </w:pPr>
      <w:r>
        <w:t>Chemikalien:</w:t>
      </w:r>
      <w:r>
        <w:tab/>
      </w:r>
      <w:r>
        <w:tab/>
        <w:t>Natronlauge (10%), Ammoniumchlorid</w:t>
      </w:r>
    </w:p>
    <w:p w:rsidR="00F37C38" w:rsidRDefault="00F37C38" w:rsidP="00F37C38">
      <w:pPr>
        <w:pStyle w:val="Textkrper"/>
        <w:ind w:left="1979" w:hanging="1979"/>
      </w:pPr>
      <w:r>
        <w:t xml:space="preserve">Durchführung: </w:t>
      </w:r>
      <w:r>
        <w:tab/>
        <w:t xml:space="preserve">In das Reagenzglas wird eine </w:t>
      </w:r>
      <w:proofErr w:type="spellStart"/>
      <w:r>
        <w:t>Spatelspitze</w:t>
      </w:r>
      <w:proofErr w:type="spellEnd"/>
      <w:r>
        <w:t xml:space="preserve"> festes Ammoniumchlorid gegeben. Mit einer Pipette wird nun Natronlauge zu dem Ammoniumsalz g</w:t>
      </w:r>
      <w:r>
        <w:t>e</w:t>
      </w:r>
      <w:r>
        <w:t xml:space="preserve">tropft. Mit einer Pinzette wird ein Streifen feuchtes Indikatorpapier über die Öffnung des Reagenzglases gehalten. Durch Fächeln mit der Hand kann </w:t>
      </w:r>
      <w:r w:rsidRPr="00320431">
        <w:rPr>
          <w:b/>
        </w:rPr>
        <w:t>vorsichtig</w:t>
      </w:r>
      <w:r>
        <w:t xml:space="preserve"> eine Geruchsprobe durchgeführt werden.</w:t>
      </w:r>
    </w:p>
    <w:p w:rsidR="00F37C38" w:rsidRPr="00DF73CD" w:rsidRDefault="00F37C38" w:rsidP="00F37C38">
      <w:pPr>
        <w:ind w:left="1979" w:hanging="1979"/>
      </w:pPr>
      <w:r>
        <w:t>Beobachtung:</w:t>
      </w:r>
      <w:r w:rsidRPr="00F942F2">
        <w:t xml:space="preserve"> </w:t>
      </w:r>
      <w:r>
        <w:tab/>
        <w:t>Ein Gas entsteht, das Indikatorpapier wird blau, ein stechender Geruch ist wahrzunehmen.</w:t>
      </w:r>
    </w:p>
    <w:p w:rsidR="00F37C38" w:rsidRDefault="00F37C38" w:rsidP="00F37C38">
      <w:pPr>
        <w:ind w:left="1979" w:hanging="1979"/>
      </w:pPr>
      <w:r>
        <w:t>Deutung: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NH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Cl</m:t>
            </m:r>
          </m:e>
          <m:sub>
            <m:r>
              <w:rPr>
                <w:rFonts w:ascii="Cambria Math" w:hAnsi="Cambria Math"/>
              </w:rPr>
              <m:t>(s)</m:t>
            </m:r>
          </m:sub>
        </m:sSub>
        <m:r>
          <w:rPr>
            <w:rFonts w:ascii="Cambria Math" w:hAnsi="Cambria Math"/>
          </w:rPr>
          <m:t xml:space="preserve">    +  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 xml:space="preserve">          OH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 xml:space="preserve">      →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NH</m:t>
            </m:r>
          </m:e>
          <m:sub>
            <m:r>
              <w:rPr>
                <w:rFonts w:ascii="Cambria Math" w:hAnsi="Cambria Math"/>
              </w:rPr>
              <m:t>3 (g)</m:t>
            </m:r>
          </m:sub>
        </m:sSub>
        <m:r>
          <w:rPr>
            <w:rFonts w:ascii="Cambria Math" w:hAnsi="Cambria Math"/>
          </w:rPr>
          <m:t xml:space="preserve">+         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Cl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 xml:space="preserve">      +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(l)</m:t>
            </m:r>
          </m:sub>
        </m:sSub>
      </m:oMath>
    </w:p>
    <w:p w:rsidR="00F37C38" w:rsidRDefault="00F37C38" w:rsidP="00F37C38">
      <w:pPr>
        <w:ind w:left="1979" w:hanging="1979"/>
        <w:rPr>
          <w:vertAlign w:val="subscript"/>
          <w:lang w:val="en-US"/>
        </w:rPr>
      </w:pPr>
      <w:r w:rsidRPr="00FF7777">
        <w:rPr>
          <w:vertAlign w:val="subscript"/>
        </w:rPr>
        <w:tab/>
      </w:r>
      <m:oMath>
        <m:r>
          <w:rPr>
            <w:rFonts w:ascii="Cambria Math" w:hAnsi="Cambria Math"/>
            <w:sz w:val="18"/>
            <w:vertAlign w:val="subscript"/>
            <w:lang w:val="en-US"/>
          </w:rPr>
          <m:t>Ammoniumchlorid+Hydroxid-Ionen   →   Ammoniak+Chlorid-Ionen</m:t>
        </m:r>
        <m:r>
          <w:rPr>
            <w:rFonts w:ascii="Cambria Math" w:eastAsiaTheme="minorEastAsia" w:hAnsi="Cambria Math"/>
            <w:sz w:val="18"/>
            <w:vertAlign w:val="subscript"/>
            <w:lang w:val="en-US"/>
          </w:rPr>
          <m:t>+Wasser</m:t>
        </m:r>
      </m:oMath>
    </w:p>
    <w:p w:rsidR="00F37C38" w:rsidRPr="00F15FF3" w:rsidRDefault="00F37C38" w:rsidP="00F37C38">
      <w:pPr>
        <w:ind w:left="1979" w:hanging="1979"/>
      </w:pPr>
      <w:r w:rsidRPr="0097365F">
        <w:tab/>
      </w:r>
      <w:r w:rsidRPr="00F15FF3">
        <w:t>Die Hydroxid-Ionen d</w:t>
      </w:r>
      <w:r>
        <w:t>er Natronlauge reagieren mit dem Ammoniumchlorid und es entsteht gasförmiger Ammoniak. Dieser färbt das pH-Papier blau.</w:t>
      </w:r>
    </w:p>
    <w:p w:rsidR="00F37C38" w:rsidRDefault="00F37C38" w:rsidP="00F37C38">
      <w:pPr>
        <w:ind w:left="1979" w:hanging="1979"/>
      </w:pPr>
      <w:r>
        <w:t>Entsorgung:</w:t>
      </w:r>
      <w:r>
        <w:tab/>
        <w:t>Das Produkt wird im Säure-Base-Behälter entsorgt.</w:t>
      </w:r>
    </w:p>
    <w:p w:rsidR="00F37C38" w:rsidRDefault="00F37C38" w:rsidP="00F37C38">
      <w:pPr>
        <w:ind w:left="1979" w:hanging="1979"/>
      </w:pPr>
    </w:p>
    <w:p w:rsidR="00F37C38" w:rsidRDefault="00F37C38" w:rsidP="00F37C38">
      <w:pPr>
        <w:ind w:left="1979" w:hanging="1979"/>
      </w:pPr>
    </w:p>
    <w:p w:rsidR="00F37C38" w:rsidRDefault="00F37C38" w:rsidP="00F37C38">
      <w:pPr>
        <w:ind w:left="1979" w:hanging="1979"/>
      </w:pPr>
    </w:p>
    <w:p w:rsidR="00F37C38" w:rsidRDefault="00F37C38" w:rsidP="00F37C38">
      <w:pPr>
        <w:ind w:left="1979" w:hanging="1979"/>
      </w:pPr>
      <w:r>
        <w:lastRenderedPageBreak/>
        <w:t xml:space="preserve">Literatur: </w:t>
      </w:r>
      <w:r>
        <w:tab/>
        <w:t xml:space="preserve">H. Schmidkunz, W. </w:t>
      </w:r>
      <w:proofErr w:type="spellStart"/>
      <w:r>
        <w:t>Rentzsch</w:t>
      </w:r>
      <w:proofErr w:type="spellEnd"/>
      <w:r>
        <w:t xml:space="preserve">, Chemische Freihandversuche Band 1, </w:t>
      </w:r>
      <w:proofErr w:type="spellStart"/>
      <w:r>
        <w:t>Aulis</w:t>
      </w:r>
      <w:proofErr w:type="spellEnd"/>
      <w:r>
        <w:t xml:space="preserve"> Verlag, 2011, S. 161.</w:t>
      </w:r>
    </w:p>
    <w:p w:rsidR="00F37C38" w:rsidRDefault="00F37C38" w:rsidP="00F37C38">
      <w:pPr>
        <w:rPr>
          <w:rFonts w:eastAsiaTheme="minorEastAsia"/>
        </w:rPr>
      </w:pPr>
      <w:r w:rsidRPr="00170D76">
        <w:pict>
          <v:shape id="_x0000_s1026" type="#_x0000_t202" style="width:462.45pt;height:65.1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F37C38" w:rsidRPr="000D10FB" w:rsidRDefault="00F37C38" w:rsidP="00F37C38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 xml:space="preserve">In der 9. und 10. Klasse lernen die </w:t>
                  </w:r>
                  <w:proofErr w:type="spellStart"/>
                  <w:r>
                    <w:rPr>
                      <w:color w:val="1F497D" w:themeColor="text2"/>
                    </w:rPr>
                    <w:t>SuS</w:t>
                  </w:r>
                  <w:proofErr w:type="spellEnd"/>
                  <w:r>
                    <w:rPr>
                      <w:color w:val="1F497D" w:themeColor="text2"/>
                    </w:rPr>
                    <w:t xml:space="preserve"> Ammoniak im Rahmen verschiedener Experimente ke</w:t>
                  </w:r>
                  <w:r>
                    <w:rPr>
                      <w:color w:val="1F497D" w:themeColor="text2"/>
                    </w:rPr>
                    <w:t>n</w:t>
                  </w:r>
                  <w:r>
                    <w:rPr>
                      <w:color w:val="1F497D" w:themeColor="text2"/>
                    </w:rPr>
                    <w:t>nen. Verschiedene chemische Bindungsarten können bei der Deutung dieses Versuchs wiede</w:t>
                  </w:r>
                  <w:r>
                    <w:rPr>
                      <w:color w:val="1F497D" w:themeColor="text2"/>
                    </w:rPr>
                    <w:t>r</w:t>
                  </w:r>
                  <w:r>
                    <w:rPr>
                      <w:color w:val="1F497D" w:themeColor="text2"/>
                    </w:rPr>
                    <w:t>holt werden.</w:t>
                  </w:r>
                </w:p>
              </w:txbxContent>
            </v:textbox>
            <w10:wrap type="none"/>
            <w10:anchorlock/>
          </v:shape>
        </w:pict>
      </w:r>
    </w:p>
    <w:p w:rsidR="00297E17" w:rsidRDefault="00297E17"/>
    <w:sectPr w:rsidR="00297E17" w:rsidSect="00297E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F37C38"/>
    <w:rsid w:val="00297E17"/>
    <w:rsid w:val="007E6ED1"/>
    <w:rsid w:val="00F3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7C38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37C38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37C3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37C38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7C3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37C3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7C3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37C3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37C3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37C3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7C38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7C38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37C38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7C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37C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7C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7C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37C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37C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krper">
    <w:name w:val="Body Text"/>
    <w:basedOn w:val="Standard"/>
    <w:link w:val="TextkrperZchn"/>
    <w:uiPriority w:val="99"/>
    <w:unhideWhenUsed/>
    <w:rsid w:val="00F37C3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F37C38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C38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1166</Characters>
  <Application>Microsoft Office Word</Application>
  <DocSecurity>0</DocSecurity>
  <Lines>9</Lines>
  <Paragraphs>2</Paragraphs>
  <ScaleCrop>false</ScaleCrop>
  <Company>Frost-RL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2014-08-27T11:19:00Z</dcterms:created>
  <dcterms:modified xsi:type="dcterms:W3CDTF">2014-08-27T11:19:00Z</dcterms:modified>
</cp:coreProperties>
</file>