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25" w:rsidRPr="00D34625" w:rsidRDefault="007F024B" w:rsidP="00D34625">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28" type="#_x0000_t202" style="position:absolute;left:0;text-align:left;margin-left:-4.35pt;margin-top:46.15pt;width:462.45pt;height:83.7pt;z-index:251660288;mso-width-relative:margin;mso-height-relative:margin" fillcolor="white [3201]" strokecolor="#4bacc6 [3208]" strokeweight="1pt">
            <v:stroke dashstyle="dash"/>
            <v:shadow color="#868686"/>
            <v:textbox style="mso-next-textbox:#_x0000_s1028">
              <w:txbxContent>
                <w:p w:rsidR="00D34625" w:rsidRPr="000D10FB" w:rsidRDefault="00D34625" w:rsidP="00D34625">
                  <w:pPr>
                    <w:rPr>
                      <w:color w:val="1F497D" w:themeColor="text2"/>
                    </w:rPr>
                  </w:pPr>
                  <w:r>
                    <w:rPr>
                      <w:color w:val="1F497D" w:themeColor="text2"/>
                    </w:rPr>
                    <w:t>Anhand dieses anschaulichen Versuches können SuS eine weitere Eigenschaft der Alkalimetalle experimentieren, nämlich ihre charakteristische Flammenfärbung. Dafür sollten sie über Vorwissen über Salze bzw. Salzbildung sowie Ionenbindungen und die Wahrnehmung von Farben verfügen.</w:t>
                  </w:r>
                </w:p>
              </w:txbxContent>
            </v:textbox>
            <w10:wrap type="square"/>
          </v:shape>
        </w:pict>
      </w:r>
      <w:bookmarkStart w:id="0" w:name="_Toc396331407"/>
      <w:r w:rsidR="00D34625" w:rsidRPr="00D34625">
        <w:rPr>
          <w:sz w:val="28"/>
        </w:rPr>
        <w:t>V4 – Flammenprobe</w:t>
      </w:r>
      <w:bookmarkEnd w:id="0"/>
    </w:p>
    <w:p w:rsidR="00D34625" w:rsidRPr="00BB3E75" w:rsidRDefault="00D34625" w:rsidP="00D34625"/>
    <w:tbl>
      <w:tblPr>
        <w:tblW w:w="0" w:type="auto"/>
        <w:tblBorders>
          <w:top w:val="single" w:sz="8" w:space="0" w:color="4F81BD"/>
          <w:left w:val="single" w:sz="8" w:space="0" w:color="4F81BD"/>
          <w:bottom w:val="single" w:sz="8" w:space="0" w:color="4F81BD"/>
          <w:right w:val="single" w:sz="8" w:space="0" w:color="4F81BD"/>
        </w:tblBorders>
        <w:tblLook w:val="04A0"/>
      </w:tblPr>
      <w:tblGrid>
        <w:gridCol w:w="1005"/>
        <w:gridCol w:w="1016"/>
        <w:gridCol w:w="1016"/>
        <w:gridCol w:w="1017"/>
        <w:gridCol w:w="1017"/>
        <w:gridCol w:w="984"/>
        <w:gridCol w:w="1049"/>
        <w:gridCol w:w="1098"/>
        <w:gridCol w:w="1086"/>
      </w:tblGrid>
      <w:tr w:rsidR="00D34625" w:rsidRPr="009C5E28" w:rsidTr="0005349B">
        <w:tc>
          <w:tcPr>
            <w:tcW w:w="0" w:type="auto"/>
            <w:gridSpan w:val="9"/>
            <w:shd w:val="clear" w:color="auto" w:fill="4F81BD"/>
            <w:vAlign w:val="center"/>
          </w:tcPr>
          <w:p w:rsidR="00D34625" w:rsidRPr="009C5E28" w:rsidRDefault="00D34625" w:rsidP="0005349B">
            <w:pPr>
              <w:spacing w:after="0"/>
              <w:jc w:val="center"/>
              <w:rPr>
                <w:b/>
                <w:bCs/>
              </w:rPr>
            </w:pPr>
            <w:r w:rsidRPr="009C5E28">
              <w:rPr>
                <w:b/>
                <w:bCs/>
              </w:rPr>
              <w:t>Gefahrenstoffe</w:t>
            </w:r>
          </w:p>
        </w:tc>
      </w:tr>
      <w:tr w:rsidR="00D34625" w:rsidRPr="009C5E2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D34625" w:rsidRPr="003B11B0" w:rsidRDefault="00D34625" w:rsidP="0005349B">
            <w:pPr>
              <w:spacing w:after="0" w:line="276" w:lineRule="auto"/>
              <w:jc w:val="center"/>
              <w:rPr>
                <w:b/>
                <w:bCs/>
              </w:rPr>
            </w:pPr>
            <w:r>
              <w:t>Kaliumchlorid</w:t>
            </w:r>
          </w:p>
        </w:tc>
        <w:tc>
          <w:tcPr>
            <w:tcW w:w="0" w:type="auto"/>
            <w:gridSpan w:val="3"/>
            <w:tcBorders>
              <w:top w:val="single" w:sz="8" w:space="0" w:color="4F81BD"/>
              <w:bottom w:val="single" w:sz="8" w:space="0" w:color="4F81BD"/>
            </w:tcBorders>
            <w:shd w:val="clear" w:color="auto" w:fill="auto"/>
            <w:vAlign w:val="center"/>
          </w:tcPr>
          <w:p w:rsidR="00D34625" w:rsidRPr="003B11B0" w:rsidRDefault="00D34625" w:rsidP="0005349B">
            <w:pPr>
              <w:spacing w:after="0"/>
              <w:jc w:val="center"/>
            </w:pPr>
            <w:r>
              <w:t>--</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D34625" w:rsidRPr="003B11B0" w:rsidRDefault="00D34625" w:rsidP="0005349B">
            <w:pPr>
              <w:spacing w:after="0"/>
              <w:jc w:val="center"/>
            </w:pPr>
            <w:r>
              <w:t>--</w:t>
            </w:r>
            <w:r w:rsidRPr="00286E38">
              <w:t xml:space="preserve">  </w:t>
            </w:r>
          </w:p>
        </w:tc>
      </w:tr>
      <w:tr w:rsidR="00D34625" w:rsidRPr="00286E3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D34625" w:rsidRDefault="00D34625" w:rsidP="0005349B">
            <w:pPr>
              <w:spacing w:after="0" w:line="276" w:lineRule="auto"/>
              <w:jc w:val="center"/>
            </w:pPr>
            <w:r>
              <w:rPr>
                <w:color w:val="auto"/>
              </w:rPr>
              <w:t>Natriumchlorid</w:t>
            </w:r>
          </w:p>
        </w:tc>
        <w:tc>
          <w:tcPr>
            <w:tcW w:w="0" w:type="auto"/>
            <w:gridSpan w:val="3"/>
            <w:tcBorders>
              <w:top w:val="single" w:sz="8" w:space="0" w:color="4F81BD"/>
              <w:bottom w:val="single" w:sz="8" w:space="0" w:color="4F81BD"/>
            </w:tcBorders>
            <w:shd w:val="clear" w:color="auto" w:fill="auto"/>
            <w:vAlign w:val="center"/>
          </w:tcPr>
          <w:p w:rsidR="00D34625" w:rsidRPr="003B11B0" w:rsidRDefault="00D34625" w:rsidP="0005349B">
            <w:pPr>
              <w:spacing w:after="0"/>
              <w:jc w:val="center"/>
            </w:pPr>
            <w:r>
              <w:t>--</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D34625" w:rsidRPr="00286E38" w:rsidRDefault="00D34625" w:rsidP="0005349B">
            <w:pPr>
              <w:spacing w:after="0"/>
              <w:jc w:val="center"/>
              <w:rPr>
                <w:lang w:val="en-US"/>
              </w:rPr>
            </w:pPr>
            <w:r>
              <w:rPr>
                <w:lang w:val="en-US"/>
              </w:rPr>
              <w:t>--</w:t>
            </w:r>
          </w:p>
        </w:tc>
      </w:tr>
      <w:tr w:rsidR="00D34625" w:rsidRPr="009C5E2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D34625" w:rsidRDefault="00D34625" w:rsidP="0005349B">
            <w:pPr>
              <w:spacing w:after="0" w:line="276" w:lineRule="auto"/>
              <w:jc w:val="center"/>
            </w:pPr>
            <w:proofErr w:type="spellStart"/>
            <w:r>
              <w:t>Lithiumchlorid</w:t>
            </w:r>
            <w:proofErr w:type="spellEnd"/>
          </w:p>
        </w:tc>
        <w:tc>
          <w:tcPr>
            <w:tcW w:w="0" w:type="auto"/>
            <w:gridSpan w:val="3"/>
            <w:tcBorders>
              <w:top w:val="single" w:sz="8" w:space="0" w:color="4F81BD"/>
              <w:bottom w:val="single" w:sz="8" w:space="0" w:color="4F81BD"/>
            </w:tcBorders>
            <w:shd w:val="clear" w:color="auto" w:fill="auto"/>
            <w:vAlign w:val="center"/>
          </w:tcPr>
          <w:p w:rsidR="00D34625" w:rsidRPr="003B11B0" w:rsidRDefault="00D34625" w:rsidP="0005349B">
            <w:pPr>
              <w:spacing w:after="0"/>
              <w:jc w:val="center"/>
            </w:pPr>
            <w:r w:rsidRPr="00435579">
              <w:t>H302 H315 H319</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D34625" w:rsidRPr="003B11B0" w:rsidRDefault="00D34625" w:rsidP="0005349B">
            <w:pPr>
              <w:spacing w:after="0"/>
              <w:jc w:val="center"/>
            </w:pPr>
            <w:r w:rsidRPr="00435579">
              <w:t>P302+P352 P305+P351+P338</w:t>
            </w:r>
            <w:r w:rsidRPr="00286E38">
              <w:t xml:space="preserve">  </w:t>
            </w:r>
          </w:p>
        </w:tc>
      </w:tr>
      <w:tr w:rsidR="00D34625" w:rsidRPr="009C5E2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D34625" w:rsidRDefault="00D34625" w:rsidP="0005349B">
            <w:pPr>
              <w:spacing w:after="0" w:line="276" w:lineRule="auto"/>
              <w:jc w:val="center"/>
            </w:pPr>
            <w:proofErr w:type="spellStart"/>
            <w:r>
              <w:t>konz</w:t>
            </w:r>
            <w:proofErr w:type="spellEnd"/>
            <w:r>
              <w:t>. Salzsäure</w:t>
            </w:r>
          </w:p>
        </w:tc>
        <w:tc>
          <w:tcPr>
            <w:tcW w:w="0" w:type="auto"/>
            <w:gridSpan w:val="3"/>
            <w:tcBorders>
              <w:top w:val="single" w:sz="8" w:space="0" w:color="4F81BD"/>
              <w:bottom w:val="single" w:sz="8" w:space="0" w:color="4F81BD"/>
            </w:tcBorders>
            <w:shd w:val="clear" w:color="auto" w:fill="auto"/>
            <w:vAlign w:val="center"/>
          </w:tcPr>
          <w:p w:rsidR="00D34625" w:rsidRPr="003B11B0" w:rsidRDefault="00D34625" w:rsidP="0005349B">
            <w:pPr>
              <w:spacing w:after="0"/>
              <w:jc w:val="center"/>
            </w:pPr>
            <w:r>
              <w:t>H314 H335 H290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D34625" w:rsidRPr="003B11B0" w:rsidRDefault="00D34625" w:rsidP="0005349B">
            <w:pPr>
              <w:spacing w:after="0"/>
              <w:jc w:val="center"/>
            </w:pPr>
            <w:r w:rsidRPr="00320F5F">
              <w:t xml:space="preserve">P280 P301+P330+P331 P305+P351+P338  </w:t>
            </w:r>
          </w:p>
        </w:tc>
      </w:tr>
      <w:tr w:rsidR="006B09A3" w:rsidRPr="009C5E28" w:rsidTr="0005349B">
        <w:tc>
          <w:tcPr>
            <w:tcW w:w="0" w:type="auto"/>
            <w:tcBorders>
              <w:top w:val="single" w:sz="4" w:space="0" w:color="auto"/>
              <w:left w:val="single" w:sz="8" w:space="0" w:color="4F81BD"/>
              <w:bottom w:val="single" w:sz="8" w:space="0" w:color="4F81BD"/>
            </w:tcBorders>
            <w:shd w:val="clear" w:color="auto" w:fill="auto"/>
            <w:vAlign w:val="center"/>
          </w:tcPr>
          <w:p w:rsidR="006B09A3" w:rsidRPr="009C5E28" w:rsidRDefault="006B09A3"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75pt;height:39.75pt" o:ole="">
                  <v:imagedata r:id="rId5" o:title=""/>
                </v:shape>
                <o:OLEObject Type="Embed" ProgID="PBrush" ShapeID="_x0000_i1030" DrawAspect="Content" ObjectID="_1470581450" r:id="rId6"/>
              </w:object>
            </w:r>
          </w:p>
        </w:tc>
        <w:tc>
          <w:tcPr>
            <w:tcW w:w="0" w:type="auto"/>
            <w:tcBorders>
              <w:top w:val="single" w:sz="4" w:space="0" w:color="auto"/>
              <w:bottom w:val="single" w:sz="8" w:space="0" w:color="4F81BD"/>
            </w:tcBorders>
            <w:shd w:val="clear" w:color="auto" w:fill="auto"/>
            <w:vAlign w:val="center"/>
          </w:tcPr>
          <w:p w:rsidR="006B09A3" w:rsidRPr="009C5E28" w:rsidRDefault="006B09A3" w:rsidP="00A95BFC">
            <w:pPr>
              <w:spacing w:after="0"/>
              <w:jc w:val="center"/>
            </w:pPr>
            <w:r>
              <w:object w:dxaOrig="10800" w:dyaOrig="10815">
                <v:shape id="_x0000_i1029" type="#_x0000_t75" style="width:39.75pt;height:39.75pt" o:ole="">
                  <v:imagedata r:id="rId7" o:title="" blacklevel="6554f" grayscale="t"/>
                </v:shape>
                <o:OLEObject Type="Embed" ProgID="PBrush" ShapeID="_x0000_i1029" DrawAspect="Content" ObjectID="_1470581451" r:id="rId8"/>
              </w:object>
            </w:r>
          </w:p>
        </w:tc>
        <w:tc>
          <w:tcPr>
            <w:tcW w:w="0" w:type="auto"/>
            <w:tcBorders>
              <w:top w:val="single" w:sz="4" w:space="0" w:color="auto"/>
              <w:bottom w:val="single" w:sz="8" w:space="0" w:color="4F81BD"/>
            </w:tcBorders>
            <w:shd w:val="clear" w:color="auto" w:fill="auto"/>
            <w:vAlign w:val="center"/>
          </w:tcPr>
          <w:p w:rsidR="006B09A3" w:rsidRPr="009C5E28" w:rsidRDefault="006B09A3" w:rsidP="00A95BFC">
            <w:pPr>
              <w:spacing w:after="0"/>
              <w:jc w:val="center"/>
            </w:pPr>
            <w:r>
              <w:object w:dxaOrig="10800" w:dyaOrig="10815">
                <v:shape id="_x0000_i1028" type="#_x0000_t75" style="width:39.75pt;height:39.75pt" o:ole="">
                  <v:imagedata r:id="rId9" o:title="" blacklevel="6554f" grayscale="t"/>
                </v:shape>
                <o:OLEObject Type="Embed" ProgID="PBrush" ShapeID="_x0000_i1028" DrawAspect="Content" ObjectID="_1470581452" r:id="rId10"/>
              </w:object>
            </w:r>
          </w:p>
        </w:tc>
        <w:tc>
          <w:tcPr>
            <w:tcW w:w="0" w:type="auto"/>
            <w:tcBorders>
              <w:top w:val="single" w:sz="4" w:space="0" w:color="auto"/>
              <w:bottom w:val="single" w:sz="8" w:space="0" w:color="4F81BD"/>
            </w:tcBorders>
            <w:shd w:val="clear" w:color="auto" w:fill="auto"/>
            <w:vAlign w:val="center"/>
          </w:tcPr>
          <w:p w:rsidR="006B09A3" w:rsidRPr="009C5E28" w:rsidRDefault="006B09A3" w:rsidP="00A95BFC">
            <w:pPr>
              <w:spacing w:after="0"/>
              <w:jc w:val="center"/>
            </w:pPr>
            <w:r>
              <w:object w:dxaOrig="10815" w:dyaOrig="10800">
                <v:shape id="_x0000_i1027" type="#_x0000_t75" style="width:39.75pt;height:39.75pt" o:ole="">
                  <v:imagedata r:id="rId11" o:title="" blacklevel="6554f" grayscale="t"/>
                </v:shape>
                <o:OLEObject Type="Embed" ProgID="PBrush" ShapeID="_x0000_i1027" DrawAspect="Content" ObjectID="_1470581453" r:id="rId12"/>
              </w:object>
            </w:r>
          </w:p>
        </w:tc>
        <w:tc>
          <w:tcPr>
            <w:tcW w:w="0" w:type="auto"/>
            <w:tcBorders>
              <w:top w:val="single" w:sz="4" w:space="0" w:color="auto"/>
              <w:bottom w:val="single" w:sz="8" w:space="0" w:color="4F81BD"/>
            </w:tcBorders>
            <w:shd w:val="clear" w:color="auto" w:fill="auto"/>
            <w:vAlign w:val="center"/>
          </w:tcPr>
          <w:p w:rsidR="006B09A3" w:rsidRPr="009C5E28" w:rsidRDefault="006B09A3" w:rsidP="00A95BFC">
            <w:pPr>
              <w:spacing w:after="0"/>
              <w:jc w:val="center"/>
            </w:pPr>
            <w:r>
              <w:object w:dxaOrig="10815" w:dyaOrig="10815">
                <v:shape id="_x0000_i1033" type="#_x0000_t75" style="width:39.75pt;height:39.75pt" o:ole="">
                  <v:imagedata r:id="rId13" o:title="" blacklevel="6554f" grayscale="t"/>
                </v:shape>
                <o:OLEObject Type="Embed" ProgID="PBrush" ShapeID="_x0000_i1033" DrawAspect="Content" ObjectID="_1470581454" r:id="rId14"/>
              </w:object>
            </w:r>
          </w:p>
        </w:tc>
        <w:tc>
          <w:tcPr>
            <w:tcW w:w="0" w:type="auto"/>
            <w:tcBorders>
              <w:top w:val="single" w:sz="4" w:space="0" w:color="auto"/>
              <w:bottom w:val="single" w:sz="8" w:space="0" w:color="4F81BD"/>
            </w:tcBorders>
            <w:shd w:val="clear" w:color="auto" w:fill="auto"/>
            <w:vAlign w:val="center"/>
          </w:tcPr>
          <w:p w:rsidR="006B09A3" w:rsidRPr="009C5E28" w:rsidRDefault="006B09A3" w:rsidP="00A95BFC">
            <w:pPr>
              <w:spacing w:after="0"/>
              <w:jc w:val="center"/>
            </w:pPr>
            <w:r>
              <w:object w:dxaOrig="10815" w:dyaOrig="10815">
                <v:shape id="_x0000_i1031" type="#_x0000_t75" style="width:38.25pt;height:38.25pt" o:ole="">
                  <v:imagedata r:id="rId15" o:title="" blacklevel="6554f" grayscale="t"/>
                </v:shape>
                <o:OLEObject Type="Embed" ProgID="PBrush" ShapeID="_x0000_i1031" DrawAspect="Content" ObjectID="_1470581455" r:id="rId16"/>
              </w:object>
            </w:r>
          </w:p>
        </w:tc>
        <w:tc>
          <w:tcPr>
            <w:tcW w:w="0" w:type="auto"/>
            <w:tcBorders>
              <w:top w:val="single" w:sz="4" w:space="0" w:color="auto"/>
              <w:bottom w:val="single" w:sz="8" w:space="0" w:color="4F81BD"/>
            </w:tcBorders>
            <w:shd w:val="clear" w:color="auto" w:fill="auto"/>
            <w:vAlign w:val="center"/>
          </w:tcPr>
          <w:p w:rsidR="006B09A3" w:rsidRPr="009C5E28" w:rsidRDefault="006B09A3" w:rsidP="00A95BFC">
            <w:pPr>
              <w:spacing w:after="0"/>
              <w:jc w:val="center"/>
            </w:pPr>
            <w:r>
              <w:object w:dxaOrig="10800" w:dyaOrig="10815">
                <v:shape id="_x0000_i1034" type="#_x0000_t75" style="width:37.5pt;height:37.5pt" o:ole="">
                  <v:imagedata r:id="rId17" o:title="" blacklevel="6554f" grayscale="t"/>
                </v:shape>
                <o:OLEObject Type="Embed" ProgID="PBrush" ShapeID="_x0000_i1034" DrawAspect="Content" ObjectID="_1470581456" r:id="rId18"/>
              </w:object>
            </w:r>
          </w:p>
        </w:tc>
        <w:tc>
          <w:tcPr>
            <w:tcW w:w="0" w:type="auto"/>
            <w:tcBorders>
              <w:top w:val="single" w:sz="4" w:space="0" w:color="auto"/>
              <w:bottom w:val="single" w:sz="8" w:space="0" w:color="4F81BD"/>
            </w:tcBorders>
            <w:shd w:val="clear" w:color="auto" w:fill="auto"/>
            <w:vAlign w:val="center"/>
          </w:tcPr>
          <w:p w:rsidR="006B09A3" w:rsidRPr="009C5E28" w:rsidRDefault="006B09A3" w:rsidP="00A95BFC">
            <w:pPr>
              <w:spacing w:after="0"/>
              <w:jc w:val="center"/>
            </w:pPr>
            <w:r>
              <w:object w:dxaOrig="10815" w:dyaOrig="10800">
                <v:shape id="_x0000_i1035" type="#_x0000_t75" style="width:39.75pt;height:39.75pt" o:ole="">
                  <v:imagedata r:id="rId19" o:title=""/>
                </v:shape>
                <o:OLEObject Type="Embed" ProgID="PBrush" ShapeID="_x0000_i1035" DrawAspect="Content" ObjectID="_1470581457" r:id="rId20"/>
              </w:object>
            </w:r>
          </w:p>
        </w:tc>
        <w:tc>
          <w:tcPr>
            <w:tcW w:w="0" w:type="auto"/>
            <w:tcBorders>
              <w:top w:val="single" w:sz="4" w:space="0" w:color="auto"/>
              <w:bottom w:val="single" w:sz="8" w:space="0" w:color="4F81BD"/>
              <w:right w:val="single" w:sz="8" w:space="0" w:color="4F81BD"/>
            </w:tcBorders>
            <w:shd w:val="clear" w:color="auto" w:fill="auto"/>
            <w:vAlign w:val="center"/>
          </w:tcPr>
          <w:p w:rsidR="006B09A3" w:rsidRPr="00BB0142" w:rsidRDefault="006B09A3" w:rsidP="00A95BFC">
            <w:pPr>
              <w:spacing w:after="0"/>
              <w:jc w:val="center"/>
              <w:rPr>
                <w:color w:val="FF0000"/>
              </w:rPr>
            </w:pPr>
            <w:r>
              <w:object w:dxaOrig="10815" w:dyaOrig="10800">
                <v:shape id="_x0000_i1032" type="#_x0000_t75" style="width:39pt;height:39pt" o:ole="">
                  <v:imagedata r:id="rId21" o:title="" blacklevel="6554f" grayscale="t"/>
                </v:shape>
                <o:OLEObject Type="Embed" ProgID="PBrush" ShapeID="_x0000_i1032" DrawAspect="Content" ObjectID="_1470581458" r:id="rId22"/>
              </w:object>
            </w:r>
          </w:p>
        </w:tc>
      </w:tr>
    </w:tbl>
    <w:p w:rsidR="00D34625" w:rsidRDefault="00D34625" w:rsidP="00D34625">
      <w:pPr>
        <w:tabs>
          <w:tab w:val="left" w:pos="1701"/>
          <w:tab w:val="left" w:pos="1985"/>
        </w:tabs>
        <w:ind w:left="1980" w:hanging="1980"/>
      </w:pPr>
    </w:p>
    <w:p w:rsidR="00D34625" w:rsidRDefault="00D34625" w:rsidP="00D34625">
      <w:pPr>
        <w:tabs>
          <w:tab w:val="left" w:pos="1701"/>
          <w:tab w:val="left" w:pos="1985"/>
        </w:tabs>
        <w:ind w:left="1980" w:hanging="1980"/>
      </w:pPr>
      <w:r>
        <w:t xml:space="preserve">Materialien: </w:t>
      </w:r>
      <w:r>
        <w:tab/>
      </w:r>
      <w:r>
        <w:tab/>
        <w:t>Tüpfelplatte, Gasbrenner, Magnesiastäbchen, Becherglas</w:t>
      </w:r>
      <w:r>
        <w:tab/>
      </w:r>
    </w:p>
    <w:p w:rsidR="00D34625" w:rsidRPr="00072DC7" w:rsidRDefault="00D34625" w:rsidP="00D34625">
      <w:pPr>
        <w:tabs>
          <w:tab w:val="left" w:pos="1843"/>
          <w:tab w:val="left" w:pos="1985"/>
        </w:tabs>
        <w:ind w:left="1985" w:hanging="1985"/>
      </w:pPr>
      <w:r>
        <w:t xml:space="preserve">Chemikalien: </w:t>
      </w:r>
      <w:r>
        <w:tab/>
      </w:r>
      <w:r>
        <w:tab/>
        <w:t xml:space="preserve">Natriumchlorid, Kaliumchlorid, </w:t>
      </w:r>
      <w:proofErr w:type="spellStart"/>
      <w:r>
        <w:t>Lithiumchlorid</w:t>
      </w:r>
      <w:proofErr w:type="spellEnd"/>
      <w:r>
        <w:t xml:space="preserve">, </w:t>
      </w:r>
      <w:proofErr w:type="spellStart"/>
      <w:r>
        <w:t>konz</w:t>
      </w:r>
      <w:proofErr w:type="spellEnd"/>
      <w:r>
        <w:t xml:space="preserve">. Salzsäure, </w:t>
      </w:r>
      <w:proofErr w:type="spellStart"/>
      <w:r>
        <w:t>dest</w:t>
      </w:r>
      <w:proofErr w:type="spellEnd"/>
      <w:r>
        <w:t>. Wasser</w:t>
      </w:r>
      <w:r>
        <w:tab/>
      </w:r>
      <w:r w:rsidRPr="00072DC7">
        <w:t xml:space="preserve"> </w:t>
      </w:r>
    </w:p>
    <w:p w:rsidR="00D34625" w:rsidRDefault="00D34625" w:rsidP="00D34625">
      <w:pPr>
        <w:tabs>
          <w:tab w:val="left" w:pos="1701"/>
          <w:tab w:val="left" w:pos="1985"/>
        </w:tabs>
        <w:ind w:left="1980" w:hanging="1980"/>
      </w:pPr>
      <w:r>
        <w:t xml:space="preserve">Durchführung: </w:t>
      </w:r>
      <w:r>
        <w:tab/>
      </w:r>
      <w:r>
        <w:tab/>
        <w:t xml:space="preserve">Die Salze werden in etwas Wasser gelöst und getrennt auf die Tüpfelplatte gegeben. In ein Becherglas wird etwas konzentrierte Salzsäure gegeben und das Magnesiastäbchen </w:t>
      </w:r>
      <w:proofErr w:type="spellStart"/>
      <w:r>
        <w:t>hineingetaucht</w:t>
      </w:r>
      <w:proofErr w:type="spellEnd"/>
      <w:r>
        <w:t>. Über dem Gasbrenner wird es anschließend ausgeglüht. Das Magnesiastäbchen wird in eine der Salzlösungen getaucht und über die Brennerflamme gehalten. Der Vorgang wird für alle Salzlösungen wiederholt.</w:t>
      </w:r>
    </w:p>
    <w:p w:rsidR="00D34625" w:rsidRDefault="00D34625" w:rsidP="00D34625">
      <w:pPr>
        <w:tabs>
          <w:tab w:val="left" w:pos="1701"/>
          <w:tab w:val="left" w:pos="1985"/>
        </w:tabs>
        <w:ind w:left="1980" w:hanging="1980"/>
      </w:pPr>
      <w:r>
        <w:t>Beobachtung:</w:t>
      </w:r>
      <w:r>
        <w:tab/>
      </w:r>
      <w:r>
        <w:tab/>
      </w:r>
      <w:r>
        <w:tab/>
        <w:t xml:space="preserve">Natriumchlorid brennt mit gelber, Kaliumchlorid mit schwach rosa und </w:t>
      </w:r>
      <w:proofErr w:type="spellStart"/>
      <w:r>
        <w:t>Lithiumchlorid</w:t>
      </w:r>
      <w:proofErr w:type="spellEnd"/>
      <w:r>
        <w:t xml:space="preserve"> mit rot-violetter Flamme.</w:t>
      </w:r>
    </w:p>
    <w:p w:rsidR="00D34625" w:rsidRDefault="00D34625" w:rsidP="00D34625">
      <w:pPr>
        <w:keepNext/>
        <w:tabs>
          <w:tab w:val="left" w:pos="1701"/>
          <w:tab w:val="left" w:pos="1985"/>
        </w:tabs>
        <w:ind w:left="1980" w:hanging="1980"/>
        <w:jc w:val="center"/>
      </w:pPr>
      <w:r>
        <w:rPr>
          <w:noProof/>
          <w:lang w:eastAsia="de-DE"/>
        </w:rPr>
        <w:lastRenderedPageBreak/>
        <w:drawing>
          <wp:inline distT="0" distB="0" distL="0" distR="0">
            <wp:extent cx="1793081" cy="2390775"/>
            <wp:effectExtent l="19050" t="0" r="0" b="0"/>
            <wp:docPr id="23" name="Grafik 21" descr="DSC04097nat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097natrium.jpg"/>
                    <pic:cNvPicPr/>
                  </pic:nvPicPr>
                  <pic:blipFill>
                    <a:blip r:embed="rId23" cstate="email"/>
                    <a:stretch>
                      <a:fillRect/>
                    </a:stretch>
                  </pic:blipFill>
                  <pic:spPr>
                    <a:xfrm>
                      <a:off x="0" y="0"/>
                      <a:ext cx="1793971" cy="2391961"/>
                    </a:xfrm>
                    <a:prstGeom prst="rect">
                      <a:avLst/>
                    </a:prstGeom>
                  </pic:spPr>
                </pic:pic>
              </a:graphicData>
            </a:graphic>
          </wp:inline>
        </w:drawing>
      </w:r>
      <w:r>
        <w:rPr>
          <w:noProof/>
          <w:lang w:eastAsia="de-DE"/>
        </w:rPr>
        <w:drawing>
          <wp:inline distT="0" distB="0" distL="0" distR="0">
            <wp:extent cx="1793527" cy="2390775"/>
            <wp:effectExtent l="19050" t="0" r="0" b="0"/>
            <wp:docPr id="24" name="Grafik 22" descr="DSC04099kal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099kalium.jpg"/>
                    <pic:cNvPicPr/>
                  </pic:nvPicPr>
                  <pic:blipFill>
                    <a:blip r:embed="rId24" cstate="email"/>
                    <a:stretch>
                      <a:fillRect/>
                    </a:stretch>
                  </pic:blipFill>
                  <pic:spPr>
                    <a:xfrm>
                      <a:off x="0" y="0"/>
                      <a:ext cx="1798180" cy="2396977"/>
                    </a:xfrm>
                    <a:prstGeom prst="rect">
                      <a:avLst/>
                    </a:prstGeom>
                  </pic:spPr>
                </pic:pic>
              </a:graphicData>
            </a:graphic>
          </wp:inline>
        </w:drawing>
      </w:r>
      <w:r>
        <w:rPr>
          <w:noProof/>
          <w:lang w:eastAsia="de-DE"/>
        </w:rPr>
        <w:drawing>
          <wp:inline distT="0" distB="0" distL="0" distR="0">
            <wp:extent cx="1792193" cy="2390775"/>
            <wp:effectExtent l="19050" t="0" r="0" b="0"/>
            <wp:docPr id="25" name="Grafik 23" descr="DSC04105lith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105lithium.jpg"/>
                    <pic:cNvPicPr/>
                  </pic:nvPicPr>
                  <pic:blipFill>
                    <a:blip r:embed="rId25" cstate="email"/>
                    <a:stretch>
                      <a:fillRect/>
                    </a:stretch>
                  </pic:blipFill>
                  <pic:spPr>
                    <a:xfrm>
                      <a:off x="0" y="0"/>
                      <a:ext cx="1794278" cy="2393557"/>
                    </a:xfrm>
                    <a:prstGeom prst="rect">
                      <a:avLst/>
                    </a:prstGeom>
                  </pic:spPr>
                </pic:pic>
              </a:graphicData>
            </a:graphic>
          </wp:inline>
        </w:drawing>
      </w:r>
    </w:p>
    <w:p w:rsidR="00D34625" w:rsidRDefault="00D34625" w:rsidP="00D34625">
      <w:pPr>
        <w:pStyle w:val="Beschriftung"/>
        <w:jc w:val="center"/>
      </w:pPr>
      <w:r>
        <w:t xml:space="preserve">Abbildung </w:t>
      </w:r>
      <w:fldSimple w:instr=" SEQ Abbildung \* ARABIC ">
        <w:r>
          <w:rPr>
            <w:noProof/>
          </w:rPr>
          <w:t>6</w:t>
        </w:r>
      </w:fldSimple>
      <w:r>
        <w:t>: Natriumchlorid (links), Kaliumchlorid (</w:t>
      </w:r>
      <w:proofErr w:type="spellStart"/>
      <w:r>
        <w:t>mitte</w:t>
      </w:r>
      <w:proofErr w:type="spellEnd"/>
      <w:r>
        <w:t xml:space="preserve">), </w:t>
      </w:r>
      <w:proofErr w:type="spellStart"/>
      <w:r>
        <w:t>Lithiumchlorid</w:t>
      </w:r>
      <w:proofErr w:type="spellEnd"/>
      <w:r>
        <w:t xml:space="preserve"> (rechts)</w:t>
      </w:r>
    </w:p>
    <w:p w:rsidR="00D34625" w:rsidRPr="00B45AB2" w:rsidRDefault="00D34625" w:rsidP="00D34625">
      <w:pPr>
        <w:tabs>
          <w:tab w:val="left" w:pos="1985"/>
        </w:tabs>
        <w:ind w:left="1985" w:hanging="1985"/>
        <w:rPr>
          <w:rFonts w:eastAsiaTheme="minorEastAsia"/>
        </w:rPr>
      </w:pPr>
      <w:r>
        <w:t xml:space="preserve">Deutung: </w:t>
      </w:r>
      <w:r>
        <w:tab/>
        <w:t>Ein Charakteristikum der Alkalimetalle ist deren Flammenfärbung. Durch Erhitzen werden die Elektronen der Alkalimetallionen auf ein höheres Energielevel angehoben und fallen anschließend wieder in ihren Grundzustand zurück, wobei die Energiedifferenz in Form von elektromagnetischer Strahlung freigegeben wird. Sie liegt im Bereich des sichtbaren Lichts und kann somit von uns wahrgenommen werden. Jedes Alkalimetall(</w:t>
      </w:r>
      <w:proofErr w:type="spellStart"/>
      <w:r>
        <w:t>ion</w:t>
      </w:r>
      <w:proofErr w:type="spellEnd"/>
      <w:r>
        <w:t>) emittiert dabei eine für sich charakteristische Wellenlänge und wir nehmen somit unterschiedliche Farben war.</w:t>
      </w:r>
    </w:p>
    <w:p w:rsidR="00D34625" w:rsidRDefault="007F024B" w:rsidP="00D34625">
      <w:pPr>
        <w:jc w:val="left"/>
      </w:pPr>
      <w:r>
        <w:pict>
          <v:shape id="_x0000_s1030" type="#_x0000_t202" style="width:462.45pt;height:44.7pt;mso-position-horizontal-relative:char;mso-position-vertical-relative:line;mso-width-relative:margin;mso-height-relative:margin" fillcolor="white [3201]" strokecolor="#c0504d [3205]" strokeweight="1pt">
            <v:stroke dashstyle="dash"/>
            <v:shadow color="#868686"/>
            <v:textbox style="mso-next-textbox:#_x0000_s1030">
              <w:txbxContent>
                <w:p w:rsidR="00D34625" w:rsidRPr="00D70C79" w:rsidRDefault="00D34625" w:rsidP="00D34625">
                  <w:pPr>
                    <w:rPr>
                      <w:color w:val="1F497D" w:themeColor="text2"/>
                    </w:rPr>
                  </w:pPr>
                  <w:r w:rsidRPr="00D70C79">
                    <w:rPr>
                      <w:color w:val="1F497D" w:themeColor="text2"/>
                    </w:rPr>
                    <w:t>Salzsäure wird in Säure-Base-Abfall gegeben. Die Salzlösungen können im Abwasser entsorgt werden.</w:t>
                  </w:r>
                </w:p>
              </w:txbxContent>
            </v:textbox>
            <w10:wrap type="none"/>
            <w10:anchorlock/>
          </v:shape>
        </w:pict>
      </w:r>
    </w:p>
    <w:p w:rsidR="00D34625" w:rsidRDefault="007F024B" w:rsidP="00D34625">
      <w:pPr>
        <w:jc w:val="left"/>
      </w:pPr>
      <w:r>
        <w:pict>
          <v:shape id="_x0000_s1029" type="#_x0000_t202" style="width:462.45pt;height:42.15pt;mso-position-horizontal-relative:char;mso-position-vertical-relative:line;mso-width-relative:margin;mso-height-relative:margin" fillcolor="white [3201]" strokecolor="#c0504d [3205]" strokeweight="1pt">
            <v:stroke dashstyle="dash"/>
            <v:shadow color="#868686"/>
            <v:textbox style="mso-next-textbox:#_x0000_s1029">
              <w:txbxContent>
                <w:p w:rsidR="00D34625" w:rsidRPr="00D70C79" w:rsidRDefault="00D34625" w:rsidP="00D34625">
                  <w:pPr>
                    <w:rPr>
                      <w:color w:val="1F497D" w:themeColor="text2"/>
                    </w:rPr>
                  </w:pPr>
                  <w:r w:rsidRPr="00D70C79">
                    <w:rPr>
                      <w:color w:val="1F497D" w:themeColor="text2"/>
                    </w:rPr>
                    <w:t>Das Experiment kann zur qualitativen Analyse verwendet werden und um den SuS eine weitere Eigenschaft von Alkalimetallen zu veranschaulichen.</w:t>
                  </w:r>
                </w:p>
              </w:txbxContent>
            </v:textbox>
            <w10:wrap type="none"/>
            <w10:anchorlock/>
          </v:shape>
        </w:pict>
      </w:r>
    </w:p>
    <w:p w:rsidR="00D34625" w:rsidRPr="00D70C79" w:rsidRDefault="00D34625" w:rsidP="00D34625">
      <w:pPr>
        <w:ind w:left="1985" w:hanging="1985"/>
        <w:jc w:val="left"/>
      </w:pPr>
      <w:r>
        <w:t xml:space="preserve">Literatur: </w:t>
      </w:r>
      <w:r>
        <w:tab/>
        <w:t xml:space="preserve">[1] </w:t>
      </w:r>
      <w:r w:rsidRPr="00FE18DB">
        <w:t>M</w:t>
      </w:r>
      <w:r>
        <w:t>,</w:t>
      </w:r>
      <w:r w:rsidRPr="00FE18DB">
        <w:t xml:space="preserve"> </w:t>
      </w:r>
      <w:proofErr w:type="spellStart"/>
      <w:r w:rsidRPr="00FE18DB">
        <w:t>Stimming</w:t>
      </w:r>
      <w:proofErr w:type="spellEnd"/>
      <w:r>
        <w:t>;</w:t>
      </w:r>
      <w:r w:rsidRPr="00FE18DB">
        <w:t xml:space="preserve"> W</w:t>
      </w:r>
      <w:r>
        <w:t>.</w:t>
      </w:r>
      <w:r w:rsidRPr="00FE18DB">
        <w:t xml:space="preserve"> Buller</w:t>
      </w:r>
      <w:r>
        <w:t xml:space="preserve">, </w:t>
      </w:r>
      <w:r w:rsidRPr="00FE18DB">
        <w:t>http://www.uni-regensburg.de/chemie-pharmazie/anorganische-chemie-pfitzner/medien/data-demo/2007-2008/mswbalkalimetalle.pdf</w:t>
      </w:r>
      <w:r>
        <w:t>, 23.11.2007 (Zuletzt abgerufen am 16.08.2014, 11:19 Uhr)</w:t>
      </w:r>
    </w:p>
    <w:p w:rsidR="00021E35" w:rsidRDefault="00021E35"/>
    <w:sectPr w:rsidR="00021E35" w:rsidSect="00021E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625"/>
    <w:rsid w:val="00021E35"/>
    <w:rsid w:val="006B09A3"/>
    <w:rsid w:val="007D4C3F"/>
    <w:rsid w:val="007F024B"/>
    <w:rsid w:val="008D337B"/>
    <w:rsid w:val="00D346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462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3462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3462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3462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3462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3462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3462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3462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3462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3462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462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3462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3462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3462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3462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3462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3462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3462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3462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3462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346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4625"/>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1744</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2</cp:revision>
  <dcterms:created xsi:type="dcterms:W3CDTF">2014-08-26T15:08:00Z</dcterms:created>
  <dcterms:modified xsi:type="dcterms:W3CDTF">2014-08-26T15:58:00Z</dcterms:modified>
</cp:coreProperties>
</file>