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5BF" w:rsidRDefault="006855BF" w:rsidP="006855BF">
      <w:pPr>
        <w:tabs>
          <w:tab w:val="left" w:pos="1701"/>
          <w:tab w:val="left" w:pos="1985"/>
        </w:tabs>
        <w:rPr>
          <w:color w:val="1F497D" w:themeColor="text2"/>
        </w:rPr>
      </w:pPr>
      <w:r>
        <w:rPr>
          <w:b/>
          <w:sz w:val="28"/>
        </w:rPr>
        <w:t>Arbeitsblatt – Reaktionen von Alkalimetallen mit Wasser</w:t>
      </w:r>
    </w:p>
    <w:p w:rsidR="006855BF" w:rsidRPr="004C793E" w:rsidRDefault="006855BF" w:rsidP="006855BF">
      <w:pPr>
        <w:tabs>
          <w:tab w:val="left" w:pos="1701"/>
          <w:tab w:val="left" w:pos="1985"/>
        </w:tabs>
        <w:spacing w:after="0"/>
        <w:rPr>
          <w:rFonts w:asciiTheme="majorHAnsi" w:hAnsiTheme="majorHAnsi"/>
          <w:b/>
        </w:rPr>
      </w:pPr>
    </w:p>
    <w:p w:rsidR="006855BF" w:rsidRDefault="006855BF" w:rsidP="006855BF">
      <w:pPr>
        <w:tabs>
          <w:tab w:val="left" w:pos="1701"/>
          <w:tab w:val="left" w:pos="1985"/>
        </w:tabs>
        <w:ind w:left="1980" w:hanging="1980"/>
      </w:pPr>
      <w:r w:rsidRPr="004C793E">
        <w:rPr>
          <w:b/>
        </w:rPr>
        <w:t>Materialien:</w:t>
      </w:r>
      <w:r>
        <w:t xml:space="preserve"> </w:t>
      </w:r>
      <w:r>
        <w:tab/>
      </w:r>
      <w:r>
        <w:tab/>
        <w:t xml:space="preserve">Becherglas, große Glaswanne, Pinzette, Schneidebrett, Messer </w:t>
      </w:r>
    </w:p>
    <w:p w:rsidR="006855BF" w:rsidRPr="00072DC7" w:rsidRDefault="006855BF" w:rsidP="006855BF">
      <w:pPr>
        <w:tabs>
          <w:tab w:val="left" w:pos="1701"/>
          <w:tab w:val="left" w:pos="1985"/>
        </w:tabs>
      </w:pPr>
      <w:r w:rsidRPr="004C793E">
        <w:rPr>
          <w:b/>
        </w:rPr>
        <w:t>Chemikalien:</w:t>
      </w:r>
      <w:r>
        <w:tab/>
      </w:r>
      <w:r>
        <w:tab/>
        <w:t xml:space="preserve">Lithium, Natrium, Ethanol, Phenolphthalein, </w:t>
      </w:r>
      <w:proofErr w:type="spellStart"/>
      <w:r>
        <w:t>dest</w:t>
      </w:r>
      <w:proofErr w:type="spellEnd"/>
      <w:r>
        <w:t>. Wasser</w:t>
      </w:r>
      <w:r w:rsidRPr="00072DC7">
        <w:t xml:space="preserve"> </w:t>
      </w:r>
    </w:p>
    <w:p w:rsidR="006855BF" w:rsidRDefault="006855BF" w:rsidP="006855BF">
      <w:pPr>
        <w:tabs>
          <w:tab w:val="left" w:pos="1701"/>
          <w:tab w:val="left" w:pos="1985"/>
        </w:tabs>
        <w:ind w:left="1980" w:hanging="1980"/>
      </w:pPr>
      <w:r w:rsidRPr="004C793E">
        <w:rPr>
          <w:b/>
        </w:rPr>
        <w:t>Durchführung:</w:t>
      </w:r>
      <w:r>
        <w:t xml:space="preserve"> </w:t>
      </w:r>
      <w:r>
        <w:tab/>
      </w:r>
      <w:r>
        <w:tab/>
        <w:t xml:space="preserve">Eine Glaswanne wird bis etwa zur Hälfte mit Wasser </w:t>
      </w:r>
      <w:proofErr w:type="spellStart"/>
      <w:r>
        <w:t>befüllt</w:t>
      </w:r>
      <w:proofErr w:type="spellEnd"/>
      <w:r>
        <w:t xml:space="preserve"> und einige Tropfen des Indikators Phenolphthalein hinzugegeben. Ein erbsengroßes Stück Natrium wird sorgfältig von Paraffinöl befreit und entrindet. A</w:t>
      </w:r>
      <w:r>
        <w:t>n</w:t>
      </w:r>
      <w:r>
        <w:t>schließend wird es mit der Pinzette in die Glaswanne gegeben. Danach wird der Vorgang identisch mit Kalium wiederholt.</w:t>
      </w:r>
    </w:p>
    <w:p w:rsidR="006855BF" w:rsidRDefault="006855BF" w:rsidP="006855BF">
      <w:pPr>
        <w:pStyle w:val="Listenabsatz"/>
        <w:tabs>
          <w:tab w:val="left" w:pos="1701"/>
          <w:tab w:val="left" w:pos="1985"/>
        </w:tabs>
        <w:spacing w:after="0"/>
        <w:ind w:left="360"/>
        <w:rPr>
          <w:rFonts w:asciiTheme="majorHAnsi" w:hAnsiTheme="majorHAnsi"/>
          <w:b/>
        </w:rPr>
      </w:pPr>
    </w:p>
    <w:p w:rsidR="006855BF" w:rsidRDefault="006855BF" w:rsidP="006855BF">
      <w:pPr>
        <w:pStyle w:val="Listenabsatz"/>
        <w:tabs>
          <w:tab w:val="left" w:pos="1701"/>
          <w:tab w:val="left" w:pos="1985"/>
        </w:tabs>
        <w:spacing w:after="0"/>
        <w:ind w:left="360"/>
        <w:rPr>
          <w:rFonts w:asciiTheme="majorHAnsi" w:hAnsiTheme="majorHAnsi"/>
          <w:b/>
        </w:rPr>
      </w:pPr>
    </w:p>
    <w:p w:rsidR="006855BF" w:rsidRPr="004E0AE8" w:rsidRDefault="006855BF" w:rsidP="006855BF">
      <w:pPr>
        <w:pStyle w:val="Listenabsatz"/>
        <w:numPr>
          <w:ilvl w:val="0"/>
          <w:numId w:val="2"/>
        </w:numPr>
        <w:tabs>
          <w:tab w:val="left" w:pos="1701"/>
          <w:tab w:val="left" w:pos="1985"/>
        </w:tabs>
        <w:spacing w:after="0"/>
        <w:rPr>
          <w:rFonts w:asciiTheme="majorHAnsi" w:hAnsiTheme="majorHAnsi"/>
          <w:b/>
        </w:rPr>
      </w:pPr>
      <w:r w:rsidRPr="004E0AE8">
        <w:rPr>
          <w:rFonts w:asciiTheme="majorHAnsi" w:hAnsiTheme="majorHAnsi"/>
          <w:b/>
        </w:rPr>
        <w:t>Dokumentiere deine Beobachtung! Achte dabei besonders auf die Unterschiede der Reaktionen der beiden Alkalimetalle.</w:t>
      </w:r>
    </w:p>
    <w:p w:rsidR="006855BF" w:rsidRPr="006E6439" w:rsidRDefault="006855BF" w:rsidP="006855BF">
      <w:pPr>
        <w:pStyle w:val="Listenabsatz"/>
        <w:tabs>
          <w:tab w:val="left" w:pos="1701"/>
          <w:tab w:val="left" w:pos="1985"/>
        </w:tabs>
        <w:spacing w:after="0"/>
        <w:ind w:left="360"/>
        <w:rPr>
          <w:rFonts w:asciiTheme="majorHAnsi" w:hAnsiTheme="majorHAnsi"/>
          <w:b/>
        </w:rPr>
      </w:pPr>
    </w:p>
    <w:tbl>
      <w:tblPr>
        <w:tblStyle w:val="Tabellengitternetz"/>
        <w:tblW w:w="0" w:type="auto"/>
        <w:tblInd w:w="108" w:type="dxa"/>
        <w:tblBorders>
          <w:left w:val="none" w:sz="0" w:space="0" w:color="auto"/>
          <w:right w:val="none" w:sz="0" w:space="0" w:color="auto"/>
        </w:tblBorders>
        <w:tblLook w:val="04A0"/>
      </w:tblPr>
      <w:tblGrid>
        <w:gridCol w:w="9180"/>
      </w:tblGrid>
      <w:tr w:rsidR="006855BF" w:rsidTr="0005349B">
        <w:tc>
          <w:tcPr>
            <w:tcW w:w="9180" w:type="dxa"/>
            <w:tcBorders>
              <w:top w:val="single" w:sz="12" w:space="0" w:color="auto"/>
              <w:bottom w:val="single" w:sz="12" w:space="0" w:color="auto"/>
            </w:tcBorders>
          </w:tcPr>
          <w:p w:rsidR="006855BF" w:rsidRDefault="006855BF" w:rsidP="0005349B">
            <w:pPr>
              <w:tabs>
                <w:tab w:val="left" w:pos="1701"/>
                <w:tab w:val="left" w:pos="1985"/>
              </w:tabs>
              <w:rPr>
                <w:b/>
              </w:rPr>
            </w:pPr>
          </w:p>
        </w:tc>
      </w:tr>
      <w:tr w:rsidR="006855BF" w:rsidTr="0005349B">
        <w:tc>
          <w:tcPr>
            <w:tcW w:w="9180" w:type="dxa"/>
            <w:tcBorders>
              <w:top w:val="single" w:sz="12" w:space="0" w:color="auto"/>
              <w:bottom w:val="single" w:sz="12" w:space="0" w:color="auto"/>
            </w:tcBorders>
          </w:tcPr>
          <w:p w:rsidR="006855BF" w:rsidRDefault="006855BF" w:rsidP="0005349B">
            <w:pPr>
              <w:tabs>
                <w:tab w:val="left" w:pos="1701"/>
                <w:tab w:val="left" w:pos="1985"/>
              </w:tabs>
              <w:rPr>
                <w:b/>
              </w:rPr>
            </w:pPr>
          </w:p>
        </w:tc>
      </w:tr>
      <w:tr w:rsidR="006855BF" w:rsidTr="0005349B">
        <w:tc>
          <w:tcPr>
            <w:tcW w:w="9180" w:type="dxa"/>
            <w:tcBorders>
              <w:top w:val="single" w:sz="12" w:space="0" w:color="auto"/>
              <w:bottom w:val="single" w:sz="12" w:space="0" w:color="auto"/>
            </w:tcBorders>
          </w:tcPr>
          <w:p w:rsidR="006855BF" w:rsidRDefault="006855BF" w:rsidP="0005349B">
            <w:pPr>
              <w:tabs>
                <w:tab w:val="left" w:pos="1701"/>
                <w:tab w:val="left" w:pos="1985"/>
              </w:tabs>
              <w:rPr>
                <w:b/>
              </w:rPr>
            </w:pPr>
          </w:p>
        </w:tc>
      </w:tr>
    </w:tbl>
    <w:p w:rsidR="006855BF" w:rsidRDefault="006855BF" w:rsidP="006855BF">
      <w:pPr>
        <w:tabs>
          <w:tab w:val="left" w:pos="1701"/>
          <w:tab w:val="left" w:pos="1985"/>
        </w:tabs>
        <w:ind w:left="1980" w:hanging="1980"/>
        <w:rPr>
          <w:b/>
        </w:rPr>
      </w:pPr>
    </w:p>
    <w:p w:rsidR="006855BF" w:rsidRPr="004E0AE8" w:rsidRDefault="006855BF" w:rsidP="006855BF">
      <w:pPr>
        <w:pStyle w:val="Listenabsatz"/>
        <w:numPr>
          <w:ilvl w:val="0"/>
          <w:numId w:val="2"/>
        </w:numPr>
        <w:tabs>
          <w:tab w:val="left" w:pos="0"/>
          <w:tab w:val="left" w:pos="1701"/>
        </w:tabs>
        <w:rPr>
          <w:rFonts w:asciiTheme="majorHAnsi" w:hAnsiTheme="majorHAnsi"/>
          <w:b/>
        </w:rPr>
      </w:pPr>
      <w:r w:rsidRPr="004E0AE8">
        <w:rPr>
          <w:rFonts w:asciiTheme="majorHAnsi" w:hAnsiTheme="majorHAnsi"/>
          <w:b/>
        </w:rPr>
        <w:t>Wie ist der Farbumschlag des Indikators zu erklären? Stelle dazu die Reaktionsgle</w:t>
      </w:r>
      <w:r w:rsidRPr="004E0AE8">
        <w:rPr>
          <w:rFonts w:asciiTheme="majorHAnsi" w:hAnsiTheme="majorHAnsi"/>
          <w:b/>
        </w:rPr>
        <w:t>i</w:t>
      </w:r>
      <w:r w:rsidRPr="004E0AE8">
        <w:rPr>
          <w:rFonts w:asciiTheme="majorHAnsi" w:hAnsiTheme="majorHAnsi"/>
          <w:b/>
        </w:rPr>
        <w:t xml:space="preserve">chungen für a) </w:t>
      </w:r>
      <w:r>
        <w:rPr>
          <w:rFonts w:asciiTheme="majorHAnsi" w:hAnsiTheme="majorHAnsi"/>
          <w:b/>
        </w:rPr>
        <w:t>Lithium,</w:t>
      </w:r>
      <w:r w:rsidRPr="004E0AE8">
        <w:rPr>
          <w:rFonts w:asciiTheme="majorHAnsi" w:hAnsiTheme="majorHAnsi"/>
          <w:b/>
        </w:rPr>
        <w:t xml:space="preserve"> und b) </w:t>
      </w:r>
      <w:r>
        <w:rPr>
          <w:rFonts w:asciiTheme="majorHAnsi" w:hAnsiTheme="majorHAnsi"/>
          <w:b/>
        </w:rPr>
        <w:t>Natrium</w:t>
      </w:r>
      <w:r w:rsidRPr="004E0AE8">
        <w:rPr>
          <w:rFonts w:asciiTheme="majorHAnsi" w:hAnsiTheme="majorHAnsi"/>
          <w:b/>
        </w:rPr>
        <w:t xml:space="preserve"> auf.</w:t>
      </w:r>
    </w:p>
    <w:p w:rsidR="006855BF" w:rsidRDefault="006855BF" w:rsidP="006855BF">
      <w:pPr>
        <w:tabs>
          <w:tab w:val="left" w:pos="0"/>
          <w:tab w:val="left" w:pos="1701"/>
        </w:tabs>
        <w:spacing w:after="0"/>
        <w:rPr>
          <w:b/>
        </w:rPr>
      </w:pPr>
      <w:r>
        <w:rPr>
          <w:b/>
          <w:noProof/>
          <w:lang w:eastAsia="de-DE"/>
        </w:rPr>
        <w:pict>
          <v:shapetype id="_x0000_t32" coordsize="21600,21600" o:spt="32" o:oned="t" path="m,l21600,21600e" filled="f">
            <v:path arrowok="t" fillok="f" o:connecttype="none"/>
            <o:lock v:ext="edit" shapetype="t"/>
          </v:shapetype>
          <v:shape id="_x0000_s1028" type="#_x0000_t32" style="position:absolute;left:0;text-align:left;margin-left:13.15pt;margin-top:15.6pt;width:444pt;height:.05pt;z-index:251662336" o:connectortype="straight" strokeweight="1.5pt"/>
        </w:pict>
      </w:r>
      <w:r>
        <w:rPr>
          <w:b/>
        </w:rPr>
        <w:t>a)</w:t>
      </w:r>
    </w:p>
    <w:p w:rsidR="006855BF" w:rsidRDefault="006855BF" w:rsidP="006855BF">
      <w:pPr>
        <w:tabs>
          <w:tab w:val="left" w:pos="0"/>
          <w:tab w:val="left" w:pos="1701"/>
        </w:tabs>
        <w:rPr>
          <w:b/>
        </w:rPr>
      </w:pPr>
      <w:r>
        <w:rPr>
          <w:b/>
          <w:noProof/>
          <w:lang w:eastAsia="de-DE"/>
        </w:rPr>
        <w:pict>
          <v:shape id="_x0000_s1026" type="#_x0000_t32" style="position:absolute;left:0;text-align:left;margin-left:13.15pt;margin-top:14.9pt;width:444pt;height:.05pt;z-index:251660288" o:connectortype="straight" strokeweight="1.5pt"/>
        </w:pict>
      </w:r>
      <w:r>
        <w:rPr>
          <w:b/>
        </w:rPr>
        <w:t>b)</w:t>
      </w:r>
    </w:p>
    <w:p w:rsidR="006855BF" w:rsidRDefault="006855BF" w:rsidP="006855BF">
      <w:pPr>
        <w:tabs>
          <w:tab w:val="left" w:pos="0"/>
          <w:tab w:val="left" w:pos="1701"/>
        </w:tabs>
        <w:spacing w:after="0"/>
        <w:rPr>
          <w:b/>
        </w:rPr>
      </w:pPr>
      <w:r>
        <w:rPr>
          <w:b/>
          <w:noProof/>
          <w:lang w:eastAsia="de-DE"/>
        </w:rPr>
        <w:pict>
          <v:shape id="_x0000_s1027" type="#_x0000_t32" style="position:absolute;left:0;text-align:left;margin-left:1.15pt;margin-top:4.5pt;width:456pt;height:.05pt;z-index:251661312" o:connectortype="straight" strokeweight="1.5pt"/>
        </w:pict>
      </w:r>
    </w:p>
    <w:p w:rsidR="006855BF" w:rsidRDefault="006855BF" w:rsidP="006855BF">
      <w:pPr>
        <w:pStyle w:val="Listenabsatz"/>
        <w:tabs>
          <w:tab w:val="left" w:pos="0"/>
          <w:tab w:val="left" w:pos="1701"/>
        </w:tabs>
        <w:spacing w:after="0"/>
        <w:ind w:left="360"/>
        <w:rPr>
          <w:rFonts w:asciiTheme="majorHAnsi" w:hAnsiTheme="majorHAnsi"/>
          <w:b/>
        </w:rPr>
      </w:pPr>
    </w:p>
    <w:p w:rsidR="006855BF" w:rsidRPr="004E0AE8" w:rsidRDefault="006855BF" w:rsidP="006855BF">
      <w:pPr>
        <w:pStyle w:val="Listenabsatz"/>
        <w:numPr>
          <w:ilvl w:val="0"/>
          <w:numId w:val="2"/>
        </w:numPr>
        <w:tabs>
          <w:tab w:val="left" w:pos="0"/>
          <w:tab w:val="left" w:pos="1701"/>
        </w:tabs>
        <w:spacing w:after="0"/>
        <w:rPr>
          <w:rFonts w:asciiTheme="majorHAnsi" w:hAnsiTheme="majorHAnsi"/>
          <w:b/>
        </w:rPr>
      </w:pPr>
      <w:r w:rsidRPr="004E0AE8">
        <w:rPr>
          <w:rFonts w:asciiTheme="majorHAnsi" w:hAnsiTheme="majorHAnsi"/>
          <w:b/>
        </w:rPr>
        <w:t xml:space="preserve">Was würdest du erwarten wenn der Versuch identisch mit </w:t>
      </w:r>
      <w:r>
        <w:rPr>
          <w:rFonts w:asciiTheme="majorHAnsi" w:hAnsiTheme="majorHAnsi"/>
          <w:b/>
        </w:rPr>
        <w:t>Kalium</w:t>
      </w:r>
      <w:r w:rsidRPr="004E0AE8">
        <w:rPr>
          <w:rFonts w:asciiTheme="majorHAnsi" w:hAnsiTheme="majorHAnsi"/>
          <w:b/>
        </w:rPr>
        <w:t xml:space="preserve"> durchgeführt we</w:t>
      </w:r>
      <w:r w:rsidRPr="004E0AE8">
        <w:rPr>
          <w:rFonts w:asciiTheme="majorHAnsi" w:hAnsiTheme="majorHAnsi"/>
          <w:b/>
        </w:rPr>
        <w:t>r</w:t>
      </w:r>
      <w:r w:rsidRPr="004E0AE8">
        <w:rPr>
          <w:rFonts w:asciiTheme="majorHAnsi" w:hAnsiTheme="majorHAnsi"/>
          <w:b/>
        </w:rPr>
        <w:t>den würde? Begründe deine Entscheidung!</w:t>
      </w:r>
    </w:p>
    <w:p w:rsidR="006855BF" w:rsidRPr="006E6439" w:rsidRDefault="006855BF" w:rsidP="006855BF">
      <w:pPr>
        <w:pStyle w:val="Listenabsatz"/>
        <w:tabs>
          <w:tab w:val="left" w:pos="1701"/>
          <w:tab w:val="left" w:pos="1985"/>
        </w:tabs>
        <w:spacing w:after="0"/>
        <w:ind w:left="360"/>
        <w:rPr>
          <w:b/>
        </w:rPr>
      </w:pPr>
    </w:p>
    <w:tbl>
      <w:tblPr>
        <w:tblStyle w:val="Tabellengitternetz"/>
        <w:tblW w:w="0" w:type="auto"/>
        <w:tblInd w:w="108" w:type="dxa"/>
        <w:tblBorders>
          <w:left w:val="none" w:sz="0" w:space="0" w:color="auto"/>
          <w:right w:val="none" w:sz="0" w:space="0" w:color="auto"/>
        </w:tblBorders>
        <w:tblLook w:val="04A0"/>
      </w:tblPr>
      <w:tblGrid>
        <w:gridCol w:w="9180"/>
      </w:tblGrid>
      <w:tr w:rsidR="006855BF" w:rsidTr="0005349B">
        <w:tc>
          <w:tcPr>
            <w:tcW w:w="9180" w:type="dxa"/>
            <w:tcBorders>
              <w:top w:val="single" w:sz="12" w:space="0" w:color="auto"/>
              <w:bottom w:val="single" w:sz="12" w:space="0" w:color="auto"/>
            </w:tcBorders>
          </w:tcPr>
          <w:p w:rsidR="006855BF" w:rsidRDefault="006855BF" w:rsidP="0005349B">
            <w:pPr>
              <w:tabs>
                <w:tab w:val="left" w:pos="1701"/>
                <w:tab w:val="left" w:pos="1985"/>
              </w:tabs>
              <w:rPr>
                <w:b/>
              </w:rPr>
            </w:pPr>
          </w:p>
        </w:tc>
      </w:tr>
      <w:tr w:rsidR="006855BF" w:rsidTr="0005349B">
        <w:tc>
          <w:tcPr>
            <w:tcW w:w="9180" w:type="dxa"/>
            <w:tcBorders>
              <w:top w:val="single" w:sz="12" w:space="0" w:color="auto"/>
              <w:bottom w:val="single" w:sz="12" w:space="0" w:color="auto"/>
            </w:tcBorders>
          </w:tcPr>
          <w:p w:rsidR="006855BF" w:rsidRDefault="006855BF" w:rsidP="0005349B">
            <w:pPr>
              <w:tabs>
                <w:tab w:val="left" w:pos="1701"/>
                <w:tab w:val="left" w:pos="1985"/>
              </w:tabs>
              <w:rPr>
                <w:b/>
              </w:rPr>
            </w:pPr>
          </w:p>
        </w:tc>
      </w:tr>
      <w:tr w:rsidR="006855BF" w:rsidTr="0005349B">
        <w:tc>
          <w:tcPr>
            <w:tcW w:w="9180" w:type="dxa"/>
            <w:tcBorders>
              <w:top w:val="single" w:sz="12" w:space="0" w:color="auto"/>
              <w:bottom w:val="single" w:sz="12" w:space="0" w:color="auto"/>
            </w:tcBorders>
          </w:tcPr>
          <w:p w:rsidR="006855BF" w:rsidRDefault="006855BF" w:rsidP="0005349B">
            <w:pPr>
              <w:tabs>
                <w:tab w:val="left" w:pos="1701"/>
                <w:tab w:val="left" w:pos="1985"/>
              </w:tabs>
              <w:rPr>
                <w:b/>
              </w:rPr>
            </w:pPr>
          </w:p>
        </w:tc>
      </w:tr>
      <w:tr w:rsidR="006855BF" w:rsidTr="0005349B">
        <w:tc>
          <w:tcPr>
            <w:tcW w:w="9180" w:type="dxa"/>
            <w:tcBorders>
              <w:top w:val="single" w:sz="12" w:space="0" w:color="auto"/>
              <w:bottom w:val="single" w:sz="12" w:space="0" w:color="auto"/>
            </w:tcBorders>
          </w:tcPr>
          <w:p w:rsidR="006855BF" w:rsidRDefault="006855BF" w:rsidP="0005349B">
            <w:pPr>
              <w:tabs>
                <w:tab w:val="left" w:pos="1701"/>
                <w:tab w:val="left" w:pos="1985"/>
              </w:tabs>
              <w:rPr>
                <w:b/>
              </w:rPr>
            </w:pPr>
          </w:p>
        </w:tc>
      </w:tr>
    </w:tbl>
    <w:p w:rsidR="006855BF" w:rsidRPr="00F74A95" w:rsidRDefault="006855BF" w:rsidP="006855BF">
      <w:pPr>
        <w:rPr>
          <w:color w:val="1F497D" w:themeColor="text2"/>
        </w:rPr>
      </w:pPr>
    </w:p>
    <w:p w:rsidR="006855BF" w:rsidRPr="005240FE" w:rsidRDefault="006855BF" w:rsidP="006855BF">
      <w:pPr>
        <w:sectPr w:rsidR="006855BF" w:rsidRPr="005240FE" w:rsidSect="001E7E1B">
          <w:pgSz w:w="11906" w:h="16838"/>
          <w:pgMar w:top="1417" w:right="1417" w:bottom="709" w:left="1417" w:header="708" w:footer="708" w:gutter="0"/>
          <w:pgNumType w:start="0"/>
          <w:cols w:space="708"/>
          <w:titlePg/>
          <w:docGrid w:linePitch="360"/>
        </w:sectPr>
      </w:pPr>
      <w:r>
        <w:t xml:space="preserve"> </w:t>
      </w:r>
    </w:p>
    <w:p w:rsidR="006855BF" w:rsidRDefault="006855BF" w:rsidP="006855BF">
      <w:pPr>
        <w:pStyle w:val="berschrift1"/>
      </w:pPr>
      <w:bookmarkStart w:id="0" w:name="_Toc396331408"/>
      <w:r>
        <w:lastRenderedPageBreak/>
        <w:t>Reflexion des Arbeitsblattes</w:t>
      </w:r>
      <w:bookmarkEnd w:id="0"/>
      <w:r>
        <w:t xml:space="preserve"> </w:t>
      </w:r>
    </w:p>
    <w:p w:rsidR="006855BF" w:rsidRDefault="006855BF" w:rsidP="006855BF">
      <w:r>
        <w:t xml:space="preserve">Durch dieses Arbeitsblatt soll erreicht werden, dass SuS die (unterschiedliche) </w:t>
      </w:r>
      <w:proofErr w:type="spellStart"/>
      <w:r>
        <w:t>Reaktivität</w:t>
      </w:r>
      <w:proofErr w:type="spellEnd"/>
      <w:r>
        <w:t xml:space="preserve"> der Alkalimetalle in Wasser beobachten, beschreiben und begründen können. Fachlich stehen also die Eigenschaften der Alkalimetalle im Vordergrund sowie die Tendenzen im Periodensystem.</w:t>
      </w:r>
    </w:p>
    <w:p w:rsidR="006855BF" w:rsidRDefault="006855BF" w:rsidP="006855BF">
      <w:pPr>
        <w:pStyle w:val="berschrift2"/>
      </w:pPr>
      <w:bookmarkStart w:id="1" w:name="_Toc396331409"/>
      <w:r>
        <w:t>Erwartungshorizont (Kerncurriculum)</w:t>
      </w:r>
      <w:bookmarkEnd w:id="1"/>
    </w:p>
    <w:p w:rsidR="006855BF" w:rsidRPr="005F4F8F" w:rsidRDefault="006855BF" w:rsidP="006855BF">
      <w:r>
        <w:t>Aufgabe 1 stellt Anforderungsbereich I dar, da die SuS ihre Beobachtungen lediglich reproduktiv wiedergeben sollen. Sie sollen ihre Kompetenz der Erkenntnisgewinnung schulen, indem die Gemeinsamkeiten bzw. Unterschiede innerhalb der ersten Hauptgruppe beschreiben (Basisko</w:t>
      </w:r>
      <w:r>
        <w:t>n</w:t>
      </w:r>
      <w:r>
        <w:t>zept Stoff-Teilchen). Auch in der zweiten Aufgabe geht es um die Gemeinsamkeiten der beiden Elemente Kalium und Natrium derselben Elementfamilie. Bei dieser Aufgabe handelt es sich um Anforderungsbereich II(-III), da die SuS Kenntnisse anwenden (Aufstellen von Reaktionsgle</w:t>
      </w:r>
      <w:r>
        <w:t>i</w:t>
      </w:r>
      <w:r>
        <w:t>chungen, Säure-Base Chemie). In dieser als auch in der dritten Aufgabe soll somit die Kompetenz Fachwissen erweitert werden. Diese Aufgabe entspricht Anforderungsniveau III, da die SuS komplexe Sachverhalte erklären und Transferprozesse leisten sollen.</w:t>
      </w:r>
    </w:p>
    <w:p w:rsidR="006855BF" w:rsidRDefault="006855BF" w:rsidP="006855BF">
      <w:pPr>
        <w:pStyle w:val="berschrift2"/>
      </w:pPr>
      <w:bookmarkStart w:id="2" w:name="_Toc396331410"/>
      <w:r>
        <w:t>Erwartungshorizont (Inhaltlich)</w:t>
      </w:r>
      <w:bookmarkEnd w:id="2"/>
    </w:p>
    <w:p w:rsidR="006855BF" w:rsidRDefault="006855BF" w:rsidP="006855BF">
      <w:pPr>
        <w:pStyle w:val="Listenabsatz"/>
        <w:numPr>
          <w:ilvl w:val="0"/>
          <w:numId w:val="3"/>
        </w:numPr>
        <w:spacing w:before="240" w:line="360" w:lineRule="auto"/>
        <w:rPr>
          <w:rFonts w:asciiTheme="majorHAnsi" w:hAnsiTheme="majorHAnsi"/>
          <w:color w:val="auto"/>
        </w:rPr>
      </w:pPr>
      <w:r>
        <w:rPr>
          <w:rFonts w:asciiTheme="majorHAnsi" w:hAnsiTheme="majorHAnsi"/>
          <w:color w:val="auto"/>
        </w:rPr>
        <w:t>Lithium</w:t>
      </w:r>
      <w:r w:rsidRPr="00C74F2E">
        <w:rPr>
          <w:rFonts w:asciiTheme="majorHAnsi" w:hAnsiTheme="majorHAnsi"/>
          <w:color w:val="auto"/>
        </w:rPr>
        <w:t xml:space="preserve"> formt sich zu einer „flüssigen Kugel“, die über das Wasser gleitet und dabei immer kleiner wird. Der Indikator, der vorher farblos war, verfärbt sich pink. </w:t>
      </w:r>
      <w:r>
        <w:rPr>
          <w:rFonts w:asciiTheme="majorHAnsi" w:hAnsiTheme="majorHAnsi"/>
          <w:color w:val="auto"/>
        </w:rPr>
        <w:t>Natrium</w:t>
      </w:r>
      <w:r w:rsidRPr="00C74F2E">
        <w:rPr>
          <w:rFonts w:asciiTheme="majorHAnsi" w:hAnsiTheme="majorHAnsi"/>
          <w:color w:val="auto"/>
        </w:rPr>
        <w:t xml:space="preserve"> gleitet ebe</w:t>
      </w:r>
      <w:r w:rsidRPr="00C74F2E">
        <w:rPr>
          <w:rFonts w:asciiTheme="majorHAnsi" w:hAnsiTheme="majorHAnsi"/>
          <w:color w:val="auto"/>
        </w:rPr>
        <w:t>n</w:t>
      </w:r>
      <w:r>
        <w:rPr>
          <w:rFonts w:asciiTheme="majorHAnsi" w:hAnsiTheme="majorHAnsi"/>
          <w:color w:val="auto"/>
        </w:rPr>
        <w:t>falls über das Wasser und wird dabei kleiner, reagiert aber insgesamt heftiger</w:t>
      </w:r>
      <w:r w:rsidRPr="00C74F2E">
        <w:rPr>
          <w:rFonts w:asciiTheme="majorHAnsi" w:hAnsiTheme="majorHAnsi"/>
          <w:color w:val="auto"/>
        </w:rPr>
        <w:t>. Auch hier ist ein Farbumschlag des Indikators zu verzeichnen.</w:t>
      </w:r>
    </w:p>
    <w:p w:rsidR="006855BF" w:rsidRPr="00C74F2E" w:rsidRDefault="006855BF" w:rsidP="006855BF">
      <w:pPr>
        <w:pStyle w:val="Listenabsatz"/>
        <w:spacing w:before="240" w:line="360" w:lineRule="auto"/>
        <w:ind w:left="360"/>
        <w:rPr>
          <w:rFonts w:asciiTheme="majorHAnsi" w:hAnsiTheme="majorHAnsi"/>
          <w:color w:val="auto"/>
        </w:rPr>
      </w:pPr>
    </w:p>
    <w:p w:rsidR="006855BF" w:rsidRPr="00C74F2E" w:rsidRDefault="006855BF" w:rsidP="006855BF">
      <w:pPr>
        <w:pStyle w:val="Listenabsatz"/>
        <w:numPr>
          <w:ilvl w:val="0"/>
          <w:numId w:val="3"/>
        </w:numPr>
        <w:tabs>
          <w:tab w:val="left" w:pos="1985"/>
        </w:tabs>
        <w:spacing w:before="240" w:line="360" w:lineRule="auto"/>
        <w:rPr>
          <w:rFonts w:asciiTheme="majorHAnsi" w:eastAsiaTheme="minorEastAsia" w:hAnsiTheme="majorHAnsi"/>
          <w:color w:val="auto"/>
        </w:rPr>
      </w:pPr>
      <w:r w:rsidRPr="00C74F2E">
        <w:rPr>
          <w:rFonts w:asciiTheme="majorHAnsi" w:hAnsiTheme="majorHAnsi"/>
          <w:color w:val="auto"/>
        </w:rPr>
        <w:t xml:space="preserve">a) </w:t>
      </w:r>
      <m:oMath>
        <m:sSub>
          <m:sSubPr>
            <m:ctrlPr>
              <w:rPr>
                <w:rFonts w:ascii="Cambria Math" w:hAnsiTheme="majorHAnsi"/>
                <w:color w:val="auto"/>
              </w:rPr>
            </m:ctrlPr>
          </m:sSubPr>
          <m:e>
            <m:r>
              <m:rPr>
                <m:sty m:val="p"/>
              </m:rPr>
              <w:rPr>
                <w:rFonts w:ascii="Cambria Math" w:hAnsiTheme="majorHAnsi"/>
                <w:color w:val="auto"/>
              </w:rPr>
              <m:t>2Li</m:t>
            </m:r>
          </m:e>
          <m:sub>
            <m:r>
              <m:rPr>
                <m:sty m:val="p"/>
              </m:rPr>
              <w:rPr>
                <w:rFonts w:ascii="Cambria Math" w:hAnsiTheme="majorHAnsi"/>
                <w:color w:val="auto"/>
              </w:rPr>
              <m:t>(s)</m:t>
            </m:r>
          </m:sub>
        </m:sSub>
        <m:r>
          <m:rPr>
            <m:sty m:val="p"/>
          </m:rPr>
          <w:rPr>
            <w:rFonts w:ascii="Cambria Math" w:hAnsiTheme="majorHAnsi"/>
            <w:color w:val="auto"/>
          </w:rPr>
          <m:t>+</m:t>
        </m:r>
        <m:sSub>
          <m:sSubPr>
            <m:ctrlPr>
              <w:rPr>
                <w:rFonts w:ascii="Cambria Math" w:hAnsiTheme="majorHAnsi"/>
                <w:color w:val="auto"/>
              </w:rPr>
            </m:ctrlPr>
          </m:sSubPr>
          <m:e>
            <m:r>
              <m:rPr>
                <m:sty m:val="p"/>
              </m:rPr>
              <w:rPr>
                <w:rFonts w:ascii="Cambria Math" w:hAnsiTheme="majorHAnsi"/>
                <w:color w:val="auto"/>
              </w:rPr>
              <m:t>2H</m:t>
            </m:r>
          </m:e>
          <m:sub>
            <m:r>
              <m:rPr>
                <m:sty m:val="p"/>
              </m:rPr>
              <w:rPr>
                <w:rFonts w:ascii="Cambria Math" w:hAnsiTheme="majorHAnsi"/>
                <w:color w:val="auto"/>
              </w:rPr>
              <m:t>2</m:t>
            </m:r>
          </m:sub>
        </m:sSub>
        <m:sSub>
          <m:sSubPr>
            <m:ctrlPr>
              <w:rPr>
                <w:rFonts w:ascii="Cambria Math" w:hAnsiTheme="majorHAnsi"/>
                <w:color w:val="auto"/>
              </w:rPr>
            </m:ctrlPr>
          </m:sSubPr>
          <m:e>
            <m:r>
              <m:rPr>
                <m:sty m:val="p"/>
              </m:rPr>
              <w:rPr>
                <w:rFonts w:ascii="Cambria Math" w:hAnsiTheme="majorHAnsi"/>
                <w:color w:val="auto"/>
              </w:rPr>
              <m:t>O</m:t>
            </m:r>
          </m:e>
          <m:sub>
            <m:r>
              <m:rPr>
                <m:sty m:val="p"/>
              </m:rPr>
              <w:rPr>
                <w:rFonts w:ascii="Cambria Math" w:hAnsiTheme="majorHAnsi"/>
                <w:color w:val="auto"/>
              </w:rPr>
              <m:t>(l)</m:t>
            </m:r>
          </m:sub>
        </m:sSub>
        <m:r>
          <m:rPr>
            <m:sty m:val="p"/>
          </m:rPr>
          <w:rPr>
            <w:rFonts w:ascii="Cambria Math" w:hAnsiTheme="majorHAnsi"/>
            <w:color w:val="auto"/>
          </w:rPr>
          <m:t>→</m:t>
        </m:r>
        <m:r>
          <m:rPr>
            <m:sty m:val="p"/>
          </m:rPr>
          <w:rPr>
            <w:rFonts w:ascii="Cambria Math" w:hAnsi="Cambria Math"/>
          </w:rPr>
          <m:t>2</m:t>
        </m:r>
        <m:sSubSup>
          <m:sSubSupPr>
            <m:ctrlPr>
              <w:rPr>
                <w:rFonts w:ascii="Cambria Math" w:hAnsi="Cambria Math"/>
                <w:color w:val="1D1B11" w:themeColor="background2" w:themeShade="1A"/>
              </w:rPr>
            </m:ctrlPr>
          </m:sSubSupPr>
          <m:e>
            <m:r>
              <m:rPr>
                <m:sty m:val="p"/>
              </m:rPr>
              <w:rPr>
                <w:rFonts w:ascii="Cambria Math" w:hAnsi="Cambria Math"/>
              </w:rPr>
              <m:t>Li</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+2</m:t>
        </m:r>
        <m:sSubSup>
          <m:sSubSupPr>
            <m:ctrlPr>
              <w:rPr>
                <w:rFonts w:ascii="Cambria Math" w:hAnsi="Cambria Math"/>
                <w:color w:val="1D1B11" w:themeColor="background2" w:themeShade="1A"/>
              </w:rPr>
            </m:ctrlPr>
          </m:sSubSupPr>
          <m:e>
            <m:r>
              <m:rPr>
                <m:sty m:val="p"/>
              </m:rPr>
              <w:rPr>
                <w:rFonts w:ascii="Cambria Math" w:hAnsi="Cambria Math"/>
              </w:rPr>
              <m:t>OH</m:t>
            </m:r>
          </m:e>
          <m:sub>
            <m:r>
              <m:rPr>
                <m:sty m:val="p"/>
              </m:rPr>
              <w:rPr>
                <w:rFonts w:ascii="Cambria Math" w:hAnsi="Cambria Math"/>
              </w:rPr>
              <m:t>(aq)</m:t>
            </m:r>
          </m:sub>
          <m:sup>
            <m:r>
              <m:rPr>
                <m:sty m:val="p"/>
              </m:rPr>
              <w:rPr>
                <w:rFonts w:ascii="Cambria Math" w:hAnsi="Cambria Math"/>
              </w:rPr>
              <m:t>-</m:t>
            </m:r>
          </m:sup>
        </m:sSubSup>
        <m:r>
          <m:rPr>
            <m:sty m:val="p"/>
          </m:rPr>
          <w:rPr>
            <w:rFonts w:ascii="Cambria Math" w:hAnsiTheme="majorHAnsi"/>
            <w:color w:val="auto"/>
          </w:rPr>
          <m:t>+</m:t>
        </m:r>
        <m:sSub>
          <m:sSubPr>
            <m:ctrlPr>
              <w:rPr>
                <w:rFonts w:ascii="Cambria Math" w:hAnsiTheme="majorHAnsi"/>
                <w:color w:val="auto"/>
              </w:rPr>
            </m:ctrlPr>
          </m:sSubPr>
          <m:e>
            <m:r>
              <m:rPr>
                <m:sty m:val="p"/>
              </m:rPr>
              <w:rPr>
                <w:rFonts w:ascii="Cambria Math" w:hAnsiTheme="majorHAnsi"/>
                <w:color w:val="auto"/>
              </w:rPr>
              <m:t>H</m:t>
            </m:r>
          </m:e>
          <m:sub>
            <m:r>
              <m:rPr>
                <m:sty m:val="p"/>
              </m:rPr>
              <w:rPr>
                <w:rFonts w:ascii="Cambria Math" w:hAnsiTheme="majorHAnsi"/>
                <w:color w:val="auto"/>
              </w:rPr>
              <m:t>2 (g)</m:t>
            </m:r>
          </m:sub>
        </m:sSub>
      </m:oMath>
    </w:p>
    <w:p w:rsidR="006855BF" w:rsidRPr="00C74F2E" w:rsidRDefault="006855BF" w:rsidP="006855BF">
      <w:pPr>
        <w:pStyle w:val="Listenabsatz"/>
        <w:tabs>
          <w:tab w:val="left" w:pos="1985"/>
        </w:tabs>
        <w:spacing w:line="360" w:lineRule="auto"/>
        <w:ind w:left="360"/>
        <w:rPr>
          <w:rFonts w:asciiTheme="majorHAnsi" w:eastAsiaTheme="minorEastAsia" w:hAnsiTheme="majorHAnsi"/>
          <w:color w:val="auto"/>
        </w:rPr>
      </w:pPr>
      <w:r w:rsidRPr="00C74F2E">
        <w:rPr>
          <w:rFonts w:asciiTheme="majorHAnsi" w:eastAsiaTheme="minorEastAsia" w:hAnsiTheme="majorHAnsi"/>
          <w:color w:val="auto"/>
        </w:rPr>
        <w:t xml:space="preserve">b) </w:t>
      </w:r>
      <m:oMath>
        <m:sSub>
          <m:sSubPr>
            <m:ctrlPr>
              <w:rPr>
                <w:rFonts w:ascii="Cambria Math" w:hAnsiTheme="majorHAnsi"/>
                <w:color w:val="auto"/>
              </w:rPr>
            </m:ctrlPr>
          </m:sSubPr>
          <m:e>
            <m:r>
              <m:rPr>
                <m:sty m:val="p"/>
              </m:rPr>
              <w:rPr>
                <w:rFonts w:ascii="Cambria Math" w:hAnsiTheme="majorHAnsi"/>
                <w:color w:val="auto"/>
              </w:rPr>
              <m:t>2Na</m:t>
            </m:r>
          </m:e>
          <m:sub>
            <m:r>
              <m:rPr>
                <m:sty m:val="p"/>
              </m:rPr>
              <w:rPr>
                <w:rFonts w:ascii="Cambria Math" w:hAnsiTheme="majorHAnsi"/>
                <w:color w:val="auto"/>
              </w:rPr>
              <m:t>(s)</m:t>
            </m:r>
          </m:sub>
        </m:sSub>
        <m:r>
          <m:rPr>
            <m:sty m:val="p"/>
          </m:rPr>
          <w:rPr>
            <w:rFonts w:ascii="Cambria Math" w:hAnsiTheme="majorHAnsi"/>
            <w:color w:val="auto"/>
          </w:rPr>
          <m:t>+</m:t>
        </m:r>
        <m:sSub>
          <m:sSubPr>
            <m:ctrlPr>
              <w:rPr>
                <w:rFonts w:ascii="Cambria Math" w:hAnsiTheme="majorHAnsi"/>
                <w:color w:val="auto"/>
              </w:rPr>
            </m:ctrlPr>
          </m:sSubPr>
          <m:e>
            <m:r>
              <m:rPr>
                <m:sty m:val="p"/>
              </m:rPr>
              <w:rPr>
                <w:rFonts w:ascii="Cambria Math" w:hAnsiTheme="majorHAnsi"/>
                <w:color w:val="auto"/>
              </w:rPr>
              <m:t>2H</m:t>
            </m:r>
          </m:e>
          <m:sub>
            <m:r>
              <m:rPr>
                <m:sty m:val="p"/>
              </m:rPr>
              <w:rPr>
                <w:rFonts w:ascii="Cambria Math" w:hAnsiTheme="majorHAnsi"/>
                <w:color w:val="auto"/>
              </w:rPr>
              <m:t>2</m:t>
            </m:r>
          </m:sub>
        </m:sSub>
        <m:sSub>
          <m:sSubPr>
            <m:ctrlPr>
              <w:rPr>
                <w:rFonts w:ascii="Cambria Math" w:hAnsiTheme="majorHAnsi"/>
                <w:color w:val="auto"/>
              </w:rPr>
            </m:ctrlPr>
          </m:sSubPr>
          <m:e>
            <m:r>
              <m:rPr>
                <m:sty m:val="p"/>
              </m:rPr>
              <w:rPr>
                <w:rFonts w:ascii="Cambria Math" w:hAnsiTheme="majorHAnsi"/>
                <w:color w:val="auto"/>
              </w:rPr>
              <m:t>O</m:t>
            </m:r>
          </m:e>
          <m:sub>
            <m:r>
              <m:rPr>
                <m:sty m:val="p"/>
              </m:rPr>
              <w:rPr>
                <w:rFonts w:ascii="Cambria Math" w:hAnsiTheme="majorHAnsi"/>
                <w:color w:val="auto"/>
              </w:rPr>
              <m:t>(l)</m:t>
            </m:r>
          </m:sub>
        </m:sSub>
        <m:r>
          <m:rPr>
            <m:sty m:val="p"/>
          </m:rPr>
          <w:rPr>
            <w:rFonts w:ascii="Cambria Math" w:hAnsiTheme="majorHAnsi"/>
            <w:color w:val="auto"/>
          </w:rPr>
          <m:t>→</m:t>
        </m:r>
        <m:r>
          <m:rPr>
            <m:sty m:val="p"/>
          </m:rPr>
          <w:rPr>
            <w:rFonts w:ascii="Cambria Math" w:hAnsi="Cambria Math"/>
          </w:rPr>
          <m:t>2</m:t>
        </m:r>
        <m:sSubSup>
          <m:sSubSupPr>
            <m:ctrlPr>
              <w:rPr>
                <w:rFonts w:ascii="Cambria Math" w:hAnsi="Cambria Math"/>
                <w:color w:val="1D1B11" w:themeColor="background2" w:themeShade="1A"/>
              </w:rPr>
            </m:ctrlPr>
          </m:sSubSupPr>
          <m:e>
            <m:r>
              <m:rPr>
                <m:sty m:val="p"/>
              </m:rPr>
              <w:rPr>
                <w:rFonts w:ascii="Cambria Math" w:hAnsi="Cambria Math"/>
              </w:rPr>
              <m:t>Na</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+2</m:t>
        </m:r>
        <m:sSubSup>
          <m:sSubSupPr>
            <m:ctrlPr>
              <w:rPr>
                <w:rFonts w:ascii="Cambria Math" w:hAnsi="Cambria Math"/>
                <w:color w:val="1D1B11" w:themeColor="background2" w:themeShade="1A"/>
              </w:rPr>
            </m:ctrlPr>
          </m:sSubSupPr>
          <m:e>
            <m:r>
              <m:rPr>
                <m:sty m:val="p"/>
              </m:rPr>
              <w:rPr>
                <w:rFonts w:ascii="Cambria Math" w:hAnsi="Cambria Math"/>
              </w:rPr>
              <m:t>OH</m:t>
            </m:r>
          </m:e>
          <m:sub>
            <m:r>
              <m:rPr>
                <m:sty m:val="p"/>
              </m:rPr>
              <w:rPr>
                <w:rFonts w:ascii="Cambria Math" w:hAnsi="Cambria Math"/>
              </w:rPr>
              <m:t>(aq)</m:t>
            </m:r>
          </m:sub>
          <m:sup>
            <m:r>
              <m:rPr>
                <m:sty m:val="p"/>
              </m:rPr>
              <w:rPr>
                <w:rFonts w:ascii="Cambria Math" w:hAnsi="Cambria Math"/>
              </w:rPr>
              <m:t>-</m:t>
            </m:r>
          </m:sup>
        </m:sSubSup>
        <m:r>
          <m:rPr>
            <m:sty m:val="p"/>
          </m:rPr>
          <w:rPr>
            <w:rFonts w:ascii="Cambria Math" w:hAnsiTheme="majorHAnsi"/>
            <w:color w:val="auto"/>
          </w:rPr>
          <m:t>+</m:t>
        </m:r>
        <m:sSub>
          <m:sSubPr>
            <m:ctrlPr>
              <w:rPr>
                <w:rFonts w:ascii="Cambria Math" w:hAnsiTheme="majorHAnsi"/>
                <w:color w:val="auto"/>
              </w:rPr>
            </m:ctrlPr>
          </m:sSubPr>
          <m:e>
            <m:r>
              <m:rPr>
                <m:sty m:val="p"/>
              </m:rPr>
              <w:rPr>
                <w:rFonts w:ascii="Cambria Math" w:hAnsiTheme="majorHAnsi"/>
                <w:color w:val="auto"/>
              </w:rPr>
              <m:t>H</m:t>
            </m:r>
          </m:e>
          <m:sub>
            <m:r>
              <m:rPr>
                <m:sty m:val="p"/>
              </m:rPr>
              <w:rPr>
                <w:rFonts w:ascii="Cambria Math" w:hAnsiTheme="majorHAnsi"/>
                <w:color w:val="auto"/>
              </w:rPr>
              <m:t>2 (g)</m:t>
            </m:r>
          </m:sub>
        </m:sSub>
      </m:oMath>
    </w:p>
    <w:p w:rsidR="006855BF" w:rsidRDefault="006855BF" w:rsidP="006855BF">
      <w:pPr>
        <w:pStyle w:val="Listenabsatz"/>
        <w:tabs>
          <w:tab w:val="left" w:pos="1985"/>
        </w:tabs>
        <w:spacing w:line="360" w:lineRule="auto"/>
        <w:ind w:left="360"/>
        <w:rPr>
          <w:rFonts w:asciiTheme="majorHAnsi" w:eastAsiaTheme="minorEastAsia" w:hAnsiTheme="majorHAnsi"/>
          <w:color w:val="auto"/>
        </w:rPr>
      </w:pPr>
      <w:r w:rsidRPr="00C74F2E">
        <w:rPr>
          <w:rFonts w:asciiTheme="majorHAnsi" w:eastAsiaTheme="minorEastAsia" w:hAnsiTheme="majorHAnsi"/>
          <w:color w:val="auto"/>
        </w:rPr>
        <w:t>Der Indikator Phenolphthalein hat einen Farbumschlag bei ca. pH=8,2. Dieser wird durch die entstehenden Basen erreicht.</w:t>
      </w:r>
    </w:p>
    <w:p w:rsidR="006855BF" w:rsidRPr="00C74F2E" w:rsidRDefault="006855BF" w:rsidP="006855BF">
      <w:pPr>
        <w:pStyle w:val="Listenabsatz"/>
        <w:tabs>
          <w:tab w:val="left" w:pos="1985"/>
        </w:tabs>
        <w:spacing w:line="360" w:lineRule="auto"/>
        <w:ind w:left="360"/>
        <w:rPr>
          <w:rFonts w:asciiTheme="majorHAnsi" w:eastAsiaTheme="minorEastAsia" w:hAnsiTheme="majorHAnsi"/>
          <w:color w:val="auto"/>
        </w:rPr>
      </w:pPr>
    </w:p>
    <w:p w:rsidR="006855BF" w:rsidRPr="00C74F2E" w:rsidRDefault="006855BF" w:rsidP="006855BF">
      <w:pPr>
        <w:pStyle w:val="Listenabsatz"/>
        <w:numPr>
          <w:ilvl w:val="0"/>
          <w:numId w:val="3"/>
        </w:numPr>
        <w:tabs>
          <w:tab w:val="left" w:pos="1985"/>
        </w:tabs>
        <w:spacing w:line="360" w:lineRule="auto"/>
        <w:rPr>
          <w:rFonts w:asciiTheme="majorHAnsi" w:hAnsiTheme="majorHAnsi"/>
          <w:color w:val="auto"/>
        </w:rPr>
      </w:pPr>
      <w:r w:rsidRPr="00C74F2E">
        <w:rPr>
          <w:rFonts w:asciiTheme="majorHAnsi" w:hAnsiTheme="majorHAnsi"/>
          <w:color w:val="auto"/>
        </w:rPr>
        <w:t xml:space="preserve">Alkalimetalle besitzen ein schwach gebundenes Elektron, welches sie leicht abgeben. Da </w:t>
      </w:r>
      <w:r>
        <w:rPr>
          <w:rFonts w:asciiTheme="majorHAnsi" w:hAnsiTheme="majorHAnsi"/>
          <w:color w:val="auto"/>
        </w:rPr>
        <w:t>Kalium</w:t>
      </w:r>
      <w:r w:rsidRPr="00C74F2E">
        <w:rPr>
          <w:rFonts w:asciiTheme="majorHAnsi" w:hAnsiTheme="majorHAnsi"/>
          <w:color w:val="auto"/>
        </w:rPr>
        <w:t xml:space="preserve"> ein Element höherer Schale als </w:t>
      </w:r>
      <w:r>
        <w:rPr>
          <w:rFonts w:asciiTheme="majorHAnsi" w:hAnsiTheme="majorHAnsi"/>
          <w:color w:val="auto"/>
        </w:rPr>
        <w:t xml:space="preserve">Natrium und </w:t>
      </w:r>
      <w:r w:rsidRPr="00C74F2E">
        <w:rPr>
          <w:rFonts w:asciiTheme="majorHAnsi" w:hAnsiTheme="majorHAnsi"/>
          <w:color w:val="auto"/>
        </w:rPr>
        <w:t xml:space="preserve">Lithium ist, ist sein Elektron schwächer gebunden und wird somit leichter abgegeben. Die </w:t>
      </w:r>
      <w:proofErr w:type="spellStart"/>
      <w:r w:rsidRPr="00C74F2E">
        <w:rPr>
          <w:rFonts w:asciiTheme="majorHAnsi" w:hAnsiTheme="majorHAnsi"/>
          <w:color w:val="auto"/>
        </w:rPr>
        <w:t>Reaktivität</w:t>
      </w:r>
      <w:r>
        <w:rPr>
          <w:rFonts w:asciiTheme="majorHAnsi" w:hAnsiTheme="majorHAnsi"/>
          <w:color w:val="auto"/>
        </w:rPr>
        <w:t>en</w:t>
      </w:r>
      <w:proofErr w:type="spellEnd"/>
      <w:r w:rsidRPr="00C74F2E">
        <w:rPr>
          <w:rFonts w:asciiTheme="majorHAnsi" w:hAnsiTheme="majorHAnsi"/>
          <w:color w:val="auto"/>
        </w:rPr>
        <w:t xml:space="preserve"> des Natriums </w:t>
      </w:r>
      <w:r>
        <w:rPr>
          <w:rFonts w:asciiTheme="majorHAnsi" w:hAnsiTheme="majorHAnsi"/>
          <w:color w:val="auto"/>
        </w:rPr>
        <w:t xml:space="preserve">und Lithiums </w:t>
      </w:r>
      <w:r w:rsidRPr="00C74F2E">
        <w:rPr>
          <w:rFonts w:asciiTheme="majorHAnsi" w:hAnsiTheme="majorHAnsi"/>
          <w:color w:val="auto"/>
        </w:rPr>
        <w:t xml:space="preserve">ist somit </w:t>
      </w:r>
      <w:r>
        <w:rPr>
          <w:rFonts w:asciiTheme="majorHAnsi" w:hAnsiTheme="majorHAnsi"/>
          <w:color w:val="auto"/>
        </w:rPr>
        <w:t>niedriger</w:t>
      </w:r>
      <w:r w:rsidRPr="00C74F2E">
        <w:rPr>
          <w:rFonts w:asciiTheme="majorHAnsi" w:hAnsiTheme="majorHAnsi"/>
          <w:color w:val="auto"/>
        </w:rPr>
        <w:t xml:space="preserve">, </w:t>
      </w:r>
      <w:r>
        <w:rPr>
          <w:rFonts w:asciiTheme="majorHAnsi" w:hAnsiTheme="majorHAnsi"/>
          <w:color w:val="auto"/>
        </w:rPr>
        <w:t xml:space="preserve">Kalium würde </w:t>
      </w:r>
      <w:r w:rsidRPr="00C74F2E">
        <w:rPr>
          <w:rFonts w:asciiTheme="majorHAnsi" w:hAnsiTheme="majorHAnsi"/>
          <w:color w:val="auto"/>
        </w:rPr>
        <w:t>heftig</w:t>
      </w:r>
      <w:r>
        <w:rPr>
          <w:rFonts w:asciiTheme="majorHAnsi" w:hAnsiTheme="majorHAnsi"/>
          <w:color w:val="auto"/>
        </w:rPr>
        <w:t>er</w:t>
      </w:r>
      <w:r w:rsidRPr="00C74F2E">
        <w:rPr>
          <w:rFonts w:asciiTheme="majorHAnsi" w:hAnsiTheme="majorHAnsi"/>
          <w:color w:val="auto"/>
        </w:rPr>
        <w:t xml:space="preserve"> reagieren. Mit höherer Schalenzahl nimmt die </w:t>
      </w:r>
      <w:proofErr w:type="spellStart"/>
      <w:r w:rsidRPr="00C74F2E">
        <w:rPr>
          <w:rFonts w:asciiTheme="majorHAnsi" w:hAnsiTheme="majorHAnsi"/>
          <w:color w:val="auto"/>
        </w:rPr>
        <w:t>Reaktivität</w:t>
      </w:r>
      <w:proofErr w:type="spellEnd"/>
      <w:r w:rsidRPr="00C74F2E">
        <w:rPr>
          <w:rFonts w:asciiTheme="majorHAnsi" w:hAnsiTheme="majorHAnsi"/>
          <w:color w:val="auto"/>
        </w:rPr>
        <w:t xml:space="preserve"> der Alkalimetalle zu.</w:t>
      </w:r>
    </w:p>
    <w:p w:rsidR="00021E35" w:rsidRDefault="00021E35"/>
    <w:sectPr w:rsidR="00021E35" w:rsidSect="00021E3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4E932C91"/>
    <w:multiLevelType w:val="hybridMultilevel"/>
    <w:tmpl w:val="D5DC13BE"/>
    <w:lvl w:ilvl="0" w:tplc="DF8CA742">
      <w:start w:val="1"/>
      <w:numFmt w:val="decimal"/>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6BE459EE"/>
    <w:multiLevelType w:val="hybridMultilevel"/>
    <w:tmpl w:val="3CD0607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55BF"/>
    <w:rsid w:val="00021E35"/>
    <w:rsid w:val="006855B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8"/>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55B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855B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855B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855B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855B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855B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855B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855B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855B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855B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55B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855B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855B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855B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855B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855B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855B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855B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855BF"/>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6855BF"/>
    <w:pPr>
      <w:spacing w:line="276" w:lineRule="auto"/>
      <w:ind w:left="720"/>
      <w:contextualSpacing/>
    </w:pPr>
    <w:rPr>
      <w:rFonts w:asciiTheme="minorHAnsi" w:hAnsiTheme="minorHAnsi"/>
      <w:color w:val="000000"/>
    </w:rPr>
  </w:style>
  <w:style w:type="table" w:styleId="Tabellengitternetz">
    <w:name w:val="Table Grid"/>
    <w:basedOn w:val="NormaleTabelle"/>
    <w:uiPriority w:val="59"/>
    <w:rsid w:val="00685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6855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55BF"/>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2660</Characters>
  <Application>Microsoft Office Word</Application>
  <DocSecurity>0</DocSecurity>
  <Lines>22</Lines>
  <Paragraphs>6</Paragraphs>
  <ScaleCrop>false</ScaleCrop>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1</cp:revision>
  <dcterms:created xsi:type="dcterms:W3CDTF">2014-08-26T15:08:00Z</dcterms:created>
  <dcterms:modified xsi:type="dcterms:W3CDTF">2014-08-26T15:08:00Z</dcterms:modified>
</cp:coreProperties>
</file>