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9E7" w:rsidRDefault="00DB29E7" w:rsidP="00DB29E7">
      <w:pPr>
        <w:pStyle w:val="berschrift2"/>
        <w:numPr>
          <w:ilvl w:val="0"/>
          <w:numId w:val="0"/>
        </w:numPr>
        <w:ind w:left="576" w:hanging="576"/>
        <w:rPr>
          <w:rFonts w:cs="Cambria"/>
          <w:bCs w:val="0"/>
          <w:color w:val="1D1B11"/>
        </w:rPr>
      </w:pPr>
      <w:r w:rsidRPr="00B716E8">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46.05pt;width:462.45pt;height:62.75pt;z-index:251660288;mso-width-relative:margin;mso-height-relative:margin" fillcolor="white [3201]" strokecolor="#4bacc6 [3208]" strokeweight="1pt">
            <v:stroke dashstyle="dash"/>
            <v:shadow color="#868686"/>
            <v:textbox style="mso-next-textbox:#_x0000_s1027">
              <w:txbxContent>
                <w:p w:rsidR="00DB29E7" w:rsidRPr="00833466" w:rsidRDefault="00DB29E7" w:rsidP="00DB29E7">
                  <w:r w:rsidRPr="00833466">
                    <w:rPr>
                      <w:color w:val="1F497D" w:themeColor="text2"/>
                    </w:rPr>
                    <w:t>Für diesen Versuch muss unbedingt unter dem Abzug gearbeitet werden, da Schwefeldioxid giftig ist! Der Versuch dient zur Charakterisierung von Schwefeldioxid, dafür wird es herg</w:t>
                  </w:r>
                  <w:r w:rsidRPr="00833466">
                    <w:rPr>
                      <w:color w:val="1F497D" w:themeColor="text2"/>
                    </w:rPr>
                    <w:t>e</w:t>
                  </w:r>
                  <w:r w:rsidRPr="00833466">
                    <w:rPr>
                      <w:color w:val="1F497D" w:themeColor="text2"/>
                    </w:rPr>
                    <w:t xml:space="preserve">stellt  </w:t>
                  </w:r>
                  <w:proofErr w:type="spellStart"/>
                  <w:r w:rsidRPr="00833466">
                    <w:rPr>
                      <w:color w:val="1F497D" w:themeColor="text2"/>
                    </w:rPr>
                    <w:t>Redoxchemie</w:t>
                  </w:r>
                  <w:proofErr w:type="spellEnd"/>
                  <w:r w:rsidRPr="00833466">
                    <w:rPr>
                      <w:color w:val="1F497D" w:themeColor="text2"/>
                    </w:rPr>
                    <w:t xml:space="preserve"> wir</w:t>
                  </w:r>
                  <w:r>
                    <w:rPr>
                      <w:color w:val="1F497D" w:themeColor="text2"/>
                    </w:rPr>
                    <w:t xml:space="preserve">d als Vorwissen vorausgesetzt. </w:t>
                  </w:r>
                </w:p>
              </w:txbxContent>
            </v:textbox>
            <w10:wrap type="square"/>
          </v:shape>
        </w:pict>
      </w:r>
      <w:bookmarkStart w:id="0" w:name="_Toc396403988"/>
      <w:r w:rsidRPr="00833466">
        <w:t>V 1 –</w:t>
      </w:r>
      <w:r w:rsidRPr="00833466">
        <w:rPr>
          <w:rFonts w:cs="Cambria"/>
          <w:bCs w:val="0"/>
          <w:color w:val="1D1B11"/>
        </w:rPr>
        <w:t xml:space="preserve"> Darstellung Schwefeldioxid</w:t>
      </w:r>
      <w:bookmarkEnd w:id="0"/>
    </w:p>
    <w:p w:rsidR="00DB29E7" w:rsidRPr="00D34A6E" w:rsidRDefault="00DB29E7" w:rsidP="00DB29E7"/>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B29E7" w:rsidRPr="009C5E28" w:rsidTr="00C64E58">
        <w:tc>
          <w:tcPr>
            <w:tcW w:w="9322" w:type="dxa"/>
            <w:gridSpan w:val="9"/>
            <w:shd w:val="clear" w:color="auto" w:fill="4F81BD"/>
            <w:vAlign w:val="center"/>
          </w:tcPr>
          <w:p w:rsidR="00DB29E7" w:rsidRPr="009C5E28" w:rsidRDefault="00DB29E7" w:rsidP="00C64E58">
            <w:pPr>
              <w:spacing w:after="0"/>
              <w:jc w:val="center"/>
              <w:rPr>
                <w:b/>
                <w:bCs/>
              </w:rPr>
            </w:pPr>
            <w:r w:rsidRPr="009C5E28">
              <w:rPr>
                <w:b/>
                <w:bCs/>
              </w:rPr>
              <w:t>Gefahrenstoffe</w:t>
            </w:r>
          </w:p>
        </w:tc>
      </w:tr>
      <w:tr w:rsidR="00DB29E7" w:rsidRPr="009C5E28" w:rsidTr="00C64E5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B29E7" w:rsidRDefault="00DB29E7" w:rsidP="00C64E58">
            <w:pPr>
              <w:autoSpaceDE w:val="0"/>
              <w:autoSpaceDN w:val="0"/>
              <w:adjustRightInd w:val="0"/>
              <w:spacing w:after="0" w:line="276" w:lineRule="auto"/>
              <w:jc w:val="center"/>
              <w:rPr>
                <w:rFonts w:ascii="Calibri" w:hAnsi="Calibri" w:cs="Calibri"/>
                <w:color w:val="auto"/>
              </w:rPr>
            </w:pPr>
            <w:r>
              <w:rPr>
                <w:rFonts w:cs="Cambria"/>
                <w:color w:val="1D1B11"/>
                <w:sz w:val="20"/>
                <w:szCs w:val="20"/>
              </w:rPr>
              <w:t>Konzentrierte Schwefelsäure</w:t>
            </w:r>
          </w:p>
        </w:tc>
        <w:tc>
          <w:tcPr>
            <w:tcW w:w="3177" w:type="dxa"/>
            <w:gridSpan w:val="3"/>
            <w:tcBorders>
              <w:top w:val="single" w:sz="8" w:space="0" w:color="4F81BD"/>
              <w:bottom w:val="single" w:sz="8" w:space="0" w:color="4F81BD"/>
            </w:tcBorders>
            <w:shd w:val="clear" w:color="auto" w:fill="auto"/>
            <w:vAlign w:val="center"/>
          </w:tcPr>
          <w:p w:rsidR="00DB29E7" w:rsidRDefault="00DB29E7" w:rsidP="00C64E58">
            <w:pPr>
              <w:autoSpaceDE w:val="0"/>
              <w:autoSpaceDN w:val="0"/>
              <w:adjustRightInd w:val="0"/>
              <w:spacing w:after="0"/>
              <w:jc w:val="center"/>
              <w:rPr>
                <w:rFonts w:ascii="Calibri" w:hAnsi="Calibri" w:cs="Calibri"/>
                <w:color w:val="auto"/>
              </w:rPr>
            </w:pPr>
            <w:r>
              <w:rPr>
                <w:rFonts w:cs="Cambria"/>
                <w:color w:val="1D1B11"/>
              </w:rPr>
              <w:t xml:space="preserve">H: 314+290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B29E7" w:rsidRDefault="00DB29E7" w:rsidP="00C64E58">
            <w:pPr>
              <w:autoSpaceDE w:val="0"/>
              <w:autoSpaceDN w:val="0"/>
              <w:adjustRightInd w:val="0"/>
              <w:spacing w:after="0"/>
              <w:jc w:val="center"/>
              <w:rPr>
                <w:rFonts w:ascii="Calibri" w:hAnsi="Calibri" w:cs="Calibri"/>
                <w:color w:val="auto"/>
              </w:rPr>
            </w:pPr>
            <w:r>
              <w:rPr>
                <w:rFonts w:cs="Cambria"/>
                <w:color w:val="1D1B11"/>
                <w:sz w:val="20"/>
                <w:szCs w:val="20"/>
              </w:rPr>
              <w:t>P:280+301+330+331+305+351+338+309+310</w:t>
            </w:r>
          </w:p>
        </w:tc>
      </w:tr>
      <w:tr w:rsidR="00DB29E7" w:rsidRPr="009C5E28" w:rsidTr="00C64E58">
        <w:trPr>
          <w:trHeight w:val="434"/>
        </w:trPr>
        <w:tc>
          <w:tcPr>
            <w:tcW w:w="3027" w:type="dxa"/>
            <w:gridSpan w:val="3"/>
            <w:shd w:val="clear" w:color="auto" w:fill="auto"/>
            <w:vAlign w:val="center"/>
          </w:tcPr>
          <w:p w:rsidR="00DB29E7" w:rsidRDefault="00DB29E7" w:rsidP="00C64E58">
            <w:pPr>
              <w:autoSpaceDE w:val="0"/>
              <w:autoSpaceDN w:val="0"/>
              <w:adjustRightInd w:val="0"/>
              <w:spacing w:after="0" w:line="276" w:lineRule="auto"/>
              <w:jc w:val="center"/>
              <w:rPr>
                <w:rFonts w:ascii="Calibri" w:hAnsi="Calibri" w:cs="Calibri"/>
                <w:color w:val="auto"/>
              </w:rPr>
            </w:pPr>
            <w:r>
              <w:rPr>
                <w:rFonts w:cs="Cambria"/>
                <w:color w:val="auto"/>
                <w:sz w:val="20"/>
                <w:szCs w:val="20"/>
              </w:rPr>
              <w:t>Natriumsulfit</w:t>
            </w:r>
          </w:p>
        </w:tc>
        <w:tc>
          <w:tcPr>
            <w:tcW w:w="3177" w:type="dxa"/>
            <w:gridSpan w:val="3"/>
            <w:shd w:val="clear" w:color="auto" w:fill="auto"/>
            <w:vAlign w:val="center"/>
          </w:tcPr>
          <w:p w:rsidR="00DB29E7" w:rsidRDefault="00DB29E7" w:rsidP="00C64E58">
            <w:pPr>
              <w:autoSpaceDE w:val="0"/>
              <w:autoSpaceDN w:val="0"/>
              <w:adjustRightInd w:val="0"/>
              <w:spacing w:after="0" w:line="240" w:lineRule="auto"/>
              <w:jc w:val="center"/>
              <w:rPr>
                <w:rFonts w:ascii="Calibri" w:hAnsi="Calibri" w:cs="Calibri"/>
                <w:color w:val="auto"/>
              </w:rPr>
            </w:pPr>
            <w:r>
              <w:rPr>
                <w:rFonts w:cs="Cambria"/>
                <w:color w:val="auto"/>
                <w:sz w:val="20"/>
                <w:szCs w:val="20"/>
              </w:rPr>
              <w:t>-</w:t>
            </w:r>
          </w:p>
        </w:tc>
        <w:tc>
          <w:tcPr>
            <w:tcW w:w="3118" w:type="dxa"/>
            <w:gridSpan w:val="3"/>
            <w:shd w:val="clear" w:color="auto" w:fill="auto"/>
            <w:vAlign w:val="center"/>
          </w:tcPr>
          <w:p w:rsidR="00DB29E7" w:rsidRDefault="00DB29E7" w:rsidP="00C64E58">
            <w:pPr>
              <w:autoSpaceDE w:val="0"/>
              <w:autoSpaceDN w:val="0"/>
              <w:adjustRightInd w:val="0"/>
              <w:spacing w:after="0" w:line="240" w:lineRule="auto"/>
              <w:jc w:val="center"/>
              <w:rPr>
                <w:rFonts w:ascii="Calibri" w:hAnsi="Calibri" w:cs="Calibri"/>
                <w:color w:val="auto"/>
              </w:rPr>
            </w:pPr>
            <w:r>
              <w:rPr>
                <w:rFonts w:cs="Cambria"/>
                <w:color w:val="auto"/>
                <w:sz w:val="20"/>
                <w:szCs w:val="20"/>
              </w:rPr>
              <w:t>-</w:t>
            </w:r>
          </w:p>
        </w:tc>
      </w:tr>
      <w:tr w:rsidR="00DB29E7" w:rsidRPr="009C5E28" w:rsidTr="00C64E58">
        <w:tc>
          <w:tcPr>
            <w:tcW w:w="1009" w:type="dxa"/>
            <w:tcBorders>
              <w:top w:val="single" w:sz="8" w:space="0" w:color="4F81BD"/>
              <w:left w:val="single" w:sz="8" w:space="0" w:color="4F81BD"/>
              <w:bottom w:val="single" w:sz="8" w:space="0" w:color="4F81BD"/>
            </w:tcBorders>
            <w:shd w:val="clear" w:color="auto" w:fill="auto"/>
            <w:vAlign w:val="center"/>
          </w:tcPr>
          <w:p w:rsidR="00DB29E7" w:rsidRPr="009C5E28" w:rsidRDefault="00DB29E7" w:rsidP="00C64E58">
            <w:pPr>
              <w:spacing w:after="0"/>
              <w:jc w:val="center"/>
              <w:rPr>
                <w:b/>
                <w:bCs/>
              </w:rPr>
            </w:pPr>
            <w:r>
              <w:rPr>
                <w:b/>
                <w:noProof/>
                <w:lang w:eastAsia="de-DE"/>
              </w:rPr>
              <w:drawing>
                <wp:inline distT="0" distB="0" distL="0" distR="0">
                  <wp:extent cx="504190" cy="504190"/>
                  <wp:effectExtent l="0" t="0" r="0" b="0"/>
                  <wp:docPr id="1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B29E7" w:rsidRPr="009C5E28" w:rsidRDefault="00DB29E7" w:rsidP="00C64E58">
            <w:pPr>
              <w:spacing w:after="0"/>
              <w:jc w:val="center"/>
            </w:pPr>
            <w:r>
              <w:rPr>
                <w:noProof/>
                <w:lang w:eastAsia="de-DE"/>
              </w:rPr>
              <w:drawing>
                <wp:inline distT="0" distB="0" distL="0" distR="0">
                  <wp:extent cx="504190" cy="504190"/>
                  <wp:effectExtent l="0" t="0" r="0" b="0"/>
                  <wp:docPr id="2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B29E7" w:rsidRPr="009C5E28" w:rsidRDefault="00DB29E7" w:rsidP="00C64E58">
            <w:pPr>
              <w:spacing w:after="0"/>
              <w:jc w:val="center"/>
            </w:pPr>
            <w:r>
              <w:rPr>
                <w:noProof/>
                <w:lang w:eastAsia="de-DE"/>
              </w:rPr>
              <w:drawing>
                <wp:inline distT="0" distB="0" distL="0" distR="0">
                  <wp:extent cx="504190" cy="504190"/>
                  <wp:effectExtent l="0" t="0" r="0" b="0"/>
                  <wp:docPr id="2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B29E7" w:rsidRPr="009C5E28" w:rsidRDefault="00DB29E7" w:rsidP="00C64E58">
            <w:pPr>
              <w:spacing w:after="0"/>
              <w:jc w:val="center"/>
            </w:pPr>
            <w:r>
              <w:rPr>
                <w:noProof/>
                <w:lang w:eastAsia="de-DE"/>
              </w:rPr>
              <w:drawing>
                <wp:inline distT="0" distB="0" distL="0" distR="0">
                  <wp:extent cx="504190" cy="504190"/>
                  <wp:effectExtent l="0" t="0" r="0" b="0"/>
                  <wp:docPr id="2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B29E7" w:rsidRPr="009C5E28" w:rsidRDefault="00DB29E7" w:rsidP="00C64E58">
            <w:pPr>
              <w:spacing w:after="0"/>
              <w:jc w:val="center"/>
            </w:pPr>
            <w:r>
              <w:rPr>
                <w:noProof/>
                <w:lang w:eastAsia="de-DE"/>
              </w:rPr>
              <w:drawing>
                <wp:inline distT="0" distB="0" distL="0" distR="0">
                  <wp:extent cx="504190" cy="504190"/>
                  <wp:effectExtent l="0" t="0" r="0" b="0"/>
                  <wp:docPr id="26"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B29E7" w:rsidRPr="009C5E28" w:rsidRDefault="00DB29E7" w:rsidP="00C64E58">
            <w:pPr>
              <w:spacing w:after="0"/>
              <w:jc w:val="center"/>
            </w:pPr>
            <w:r>
              <w:rPr>
                <w:noProof/>
                <w:lang w:eastAsia="de-DE"/>
              </w:rPr>
              <w:drawing>
                <wp:inline distT="0" distB="0" distL="0" distR="0">
                  <wp:extent cx="504190" cy="504190"/>
                  <wp:effectExtent l="0" t="0" r="0" b="0"/>
                  <wp:docPr id="2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B29E7" w:rsidRPr="009C5E28" w:rsidRDefault="00DB29E7" w:rsidP="00C64E58">
            <w:pPr>
              <w:spacing w:after="0"/>
              <w:jc w:val="center"/>
            </w:pPr>
            <w:r>
              <w:rPr>
                <w:noProof/>
                <w:lang w:eastAsia="de-DE"/>
              </w:rPr>
              <w:drawing>
                <wp:inline distT="0" distB="0" distL="0" distR="0">
                  <wp:extent cx="504190" cy="504190"/>
                  <wp:effectExtent l="0" t="0" r="0" b="0"/>
                  <wp:docPr id="2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B29E7" w:rsidRPr="009C5E28" w:rsidRDefault="00DB29E7" w:rsidP="00C64E58">
            <w:pPr>
              <w:spacing w:after="0"/>
              <w:jc w:val="center"/>
            </w:pPr>
            <w:r>
              <w:rPr>
                <w:rFonts w:ascii="Calibri" w:hAnsi="Calibri" w:cs="Calibri"/>
                <w:noProof/>
                <w:color w:val="auto"/>
                <w:lang w:eastAsia="de-DE"/>
              </w:rPr>
              <w:drawing>
                <wp:inline distT="0" distB="0" distL="0" distR="0">
                  <wp:extent cx="500380" cy="500380"/>
                  <wp:effectExtent l="19050" t="0" r="0" b="0"/>
                  <wp:docPr id="31" name="Bild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2"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B29E7" w:rsidRPr="009C5E28" w:rsidRDefault="00DB29E7" w:rsidP="00C64E58">
            <w:pPr>
              <w:spacing w:after="0"/>
              <w:jc w:val="center"/>
            </w:pPr>
            <w:r>
              <w:rPr>
                <w:noProof/>
                <w:lang w:eastAsia="de-DE"/>
              </w:rPr>
              <w:drawing>
                <wp:inline distT="0" distB="0" distL="0" distR="0">
                  <wp:extent cx="504190" cy="504190"/>
                  <wp:effectExtent l="0" t="0" r="0" b="0"/>
                  <wp:docPr id="3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DB29E7" w:rsidRDefault="00DB29E7" w:rsidP="00DB29E7">
      <w:pPr>
        <w:tabs>
          <w:tab w:val="left" w:pos="1701"/>
          <w:tab w:val="left" w:pos="1985"/>
        </w:tabs>
        <w:autoSpaceDE w:val="0"/>
        <w:autoSpaceDN w:val="0"/>
        <w:adjustRightInd w:val="0"/>
        <w:ind w:left="1980" w:hanging="1980"/>
        <w:rPr>
          <w:rFonts w:cs="Cambria"/>
          <w:color w:val="1D1B11"/>
        </w:rPr>
      </w:pPr>
    </w:p>
    <w:p w:rsidR="00DB29E7" w:rsidRDefault="00DB29E7" w:rsidP="00DB29E7">
      <w:pPr>
        <w:tabs>
          <w:tab w:val="left" w:pos="1701"/>
          <w:tab w:val="left" w:pos="1985"/>
        </w:tabs>
        <w:autoSpaceDE w:val="0"/>
        <w:autoSpaceDN w:val="0"/>
        <w:adjustRightInd w:val="0"/>
        <w:ind w:left="1980" w:hanging="1980"/>
        <w:rPr>
          <w:rFonts w:cs="Cambria"/>
          <w:color w:val="1D1B11"/>
        </w:rPr>
      </w:pPr>
      <w:r>
        <w:rPr>
          <w:rFonts w:cs="Cambria"/>
          <w:color w:val="1D1B11"/>
        </w:rPr>
        <w:t xml:space="preserve">Materialien: </w:t>
      </w:r>
      <w:r>
        <w:rPr>
          <w:rFonts w:cs="Cambria"/>
          <w:color w:val="1D1B11"/>
        </w:rPr>
        <w:tab/>
      </w:r>
      <w:r>
        <w:rPr>
          <w:rFonts w:cs="Cambria"/>
          <w:color w:val="1D1B11"/>
        </w:rPr>
        <w:tab/>
        <w:t>Zweihalsrundkolben, Tropftrichter mit Stopfen, Waschflasche, Schlauc</w:t>
      </w:r>
      <w:r>
        <w:rPr>
          <w:rFonts w:cs="Cambria"/>
          <w:color w:val="1D1B11"/>
        </w:rPr>
        <w:t>h</w:t>
      </w:r>
      <w:r>
        <w:rPr>
          <w:rFonts w:cs="Cambria"/>
          <w:color w:val="1D1B11"/>
        </w:rPr>
        <w:t xml:space="preserve">verbindung </w:t>
      </w:r>
      <w:r>
        <w:rPr>
          <w:rFonts w:cs="Cambria"/>
          <w:color w:val="auto"/>
        </w:rPr>
        <w:t>und Klemmen, Stativ</w:t>
      </w:r>
      <w:r>
        <w:rPr>
          <w:rFonts w:cs="Cambria"/>
          <w:color w:val="1D1B11"/>
        </w:rPr>
        <w:t xml:space="preserve"> mit 2 Klemmen und Muffen, etwas zu En</w:t>
      </w:r>
      <w:r>
        <w:rPr>
          <w:rFonts w:cs="Cambria"/>
          <w:color w:val="1D1B11"/>
        </w:rPr>
        <w:t>t</w:t>
      </w:r>
      <w:r>
        <w:rPr>
          <w:rFonts w:cs="Cambria"/>
          <w:color w:val="1D1B11"/>
        </w:rPr>
        <w:t xml:space="preserve">färben (Blatt, farbiger Stoff) </w:t>
      </w:r>
    </w:p>
    <w:p w:rsidR="00DB29E7" w:rsidRDefault="00DB29E7" w:rsidP="00DB29E7">
      <w:pPr>
        <w:tabs>
          <w:tab w:val="left" w:pos="1701"/>
          <w:tab w:val="left" w:pos="1985"/>
        </w:tabs>
        <w:autoSpaceDE w:val="0"/>
        <w:autoSpaceDN w:val="0"/>
        <w:adjustRightInd w:val="0"/>
        <w:ind w:left="1980" w:hanging="1980"/>
        <w:rPr>
          <w:rFonts w:cs="Cambria"/>
          <w:color w:val="1D1B11"/>
        </w:rPr>
      </w:pPr>
      <w:r>
        <w:rPr>
          <w:rFonts w:cs="Cambria"/>
          <w:color w:val="1D1B11"/>
        </w:rPr>
        <w:t>Chemikalien:</w:t>
      </w:r>
      <w:r>
        <w:rPr>
          <w:rFonts w:cs="Cambria"/>
          <w:color w:val="1D1B11"/>
        </w:rPr>
        <w:tab/>
      </w:r>
      <w:r>
        <w:rPr>
          <w:rFonts w:cs="Cambria"/>
          <w:color w:val="1D1B11"/>
        </w:rPr>
        <w:tab/>
        <w:t>Natriumsulfit, konzentrierte Schwefelsäure</w:t>
      </w:r>
    </w:p>
    <w:p w:rsidR="00DB29E7" w:rsidRDefault="00DB29E7" w:rsidP="00DB29E7">
      <w:pPr>
        <w:tabs>
          <w:tab w:val="left" w:pos="1701"/>
          <w:tab w:val="left" w:pos="1985"/>
        </w:tabs>
        <w:autoSpaceDE w:val="0"/>
        <w:autoSpaceDN w:val="0"/>
        <w:adjustRightInd w:val="0"/>
        <w:ind w:left="1980" w:hanging="1980"/>
        <w:rPr>
          <w:rFonts w:cs="Cambria"/>
          <w:color w:val="1D1B11"/>
        </w:rPr>
      </w:pPr>
      <w:r>
        <w:rPr>
          <w:rFonts w:cs="Cambria"/>
          <w:color w:val="1D1B11"/>
        </w:rPr>
        <w:t xml:space="preserve">Durchführung: </w:t>
      </w:r>
      <w:r>
        <w:rPr>
          <w:rFonts w:cs="Cambria"/>
          <w:color w:val="1D1B11"/>
        </w:rPr>
        <w:tab/>
      </w:r>
      <w:r>
        <w:rPr>
          <w:rFonts w:cs="Cambria"/>
          <w:color w:val="1D1B11"/>
        </w:rPr>
        <w:tab/>
      </w:r>
      <w:r>
        <w:rPr>
          <w:rFonts w:cs="Cambria"/>
          <w:color w:val="1D1B11"/>
        </w:rPr>
        <w:tab/>
        <w:t>Es muss unbedingt unter dem Abzug gearbeitet werden, da SO</w:t>
      </w:r>
      <w:r>
        <w:rPr>
          <w:rFonts w:cs="Cambria"/>
          <w:color w:val="1D1B11"/>
          <w:vertAlign w:val="subscript"/>
        </w:rPr>
        <w:t>2</w:t>
      </w:r>
      <w:r>
        <w:rPr>
          <w:rFonts w:cs="Cambria"/>
          <w:color w:val="1D1B11"/>
        </w:rPr>
        <w:t xml:space="preserve"> giftig ist. Der Zweihalsrundtrichter wird mit der Klemme und der Muffe am Stativ befestigt. Es werden 5 g Natriumsulfit in den Zweihalsrundkolben gegeben. Der Tropftrichter wird auf dem Zweihalsrundkolben mit </w:t>
      </w:r>
      <w:r>
        <w:rPr>
          <w:rFonts w:cs="Cambria"/>
          <w:color w:val="auto"/>
        </w:rPr>
        <w:t>einer Klemme befestigt</w:t>
      </w:r>
      <w:r>
        <w:rPr>
          <w:rFonts w:cs="Cambria"/>
          <w:color w:val="1D1B11"/>
        </w:rPr>
        <w:t>. Wenn überprüft wurde, dass der Tropftrichter geschlossen ist, we</w:t>
      </w:r>
      <w:r>
        <w:rPr>
          <w:rFonts w:cs="Cambria"/>
          <w:color w:val="1D1B11"/>
        </w:rPr>
        <w:t>r</w:t>
      </w:r>
      <w:r>
        <w:rPr>
          <w:rFonts w:cs="Cambria"/>
          <w:color w:val="1D1B11"/>
        </w:rPr>
        <w:t>den 10 ml konzentrierte Schwefelsäure in den Tropftrichter gefüllt und er wird mit einem Stopfen verschlossen. Der Zweihalsrundkolben wird über einen Schlauch (Klemmen!) mit einer Waschflasche verbunden. In der Waschflasche sind Blätter oder ein gefärbtes Stück Stoff. Wenn die Appar</w:t>
      </w:r>
      <w:r>
        <w:rPr>
          <w:rFonts w:cs="Cambria"/>
          <w:color w:val="1D1B11"/>
        </w:rPr>
        <w:t>a</w:t>
      </w:r>
      <w:r>
        <w:rPr>
          <w:rFonts w:cs="Cambria"/>
          <w:color w:val="1D1B11"/>
        </w:rPr>
        <w:t>tur noch einmal überprüft wurde, kann die Schwefelsäure tropfenweise  zu dem Natriumsulfit gegeben werden.</w:t>
      </w:r>
    </w:p>
    <w:p w:rsidR="00DB29E7" w:rsidRDefault="00DB29E7" w:rsidP="00DB29E7">
      <w:pPr>
        <w:keepNext/>
        <w:tabs>
          <w:tab w:val="left" w:pos="1701"/>
          <w:tab w:val="left" w:pos="1985"/>
        </w:tabs>
        <w:ind w:left="1980" w:hanging="1980"/>
        <w:rPr>
          <w:rFonts w:cs="Cambria"/>
          <w:color w:val="1D1B11"/>
        </w:rPr>
      </w:pPr>
      <w:r>
        <w:rPr>
          <w:rFonts w:cs="Cambria"/>
          <w:noProof/>
          <w:color w:val="1D1B11"/>
          <w:lang w:eastAsia="de-DE"/>
        </w:rPr>
        <w:lastRenderedPageBreak/>
        <w:drawing>
          <wp:anchor distT="0" distB="0" distL="114300" distR="114300" simplePos="0" relativeHeight="251662336" behindDoc="0" locked="0" layoutInCell="1" allowOverlap="1">
            <wp:simplePos x="0" y="0"/>
            <wp:positionH relativeFrom="column">
              <wp:posOffset>3344401</wp:posOffset>
            </wp:positionH>
            <wp:positionV relativeFrom="paragraph">
              <wp:posOffset>454552</wp:posOffset>
            </wp:positionV>
            <wp:extent cx="1330852" cy="1984076"/>
            <wp:effectExtent l="19050" t="0" r="2648" b="0"/>
            <wp:wrapNone/>
            <wp:docPr id="9" name="Bild 9" descr="C:\Users\noraa\Documents\SVP Chemie\Schwefel\schwefelblü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oraa\Documents\SVP Chemie\Schwefel\schwefelblüte.png"/>
                    <pic:cNvPicPr>
                      <a:picLocks noChangeAspect="1" noChangeArrowheads="1"/>
                    </pic:cNvPicPr>
                  </pic:nvPicPr>
                  <pic:blipFill>
                    <a:blip r:embed="rId14" cstate="print"/>
                    <a:srcRect/>
                    <a:stretch>
                      <a:fillRect/>
                    </a:stretch>
                  </pic:blipFill>
                  <pic:spPr bwMode="auto">
                    <a:xfrm>
                      <a:off x="0" y="0"/>
                      <a:ext cx="1330852" cy="1984076"/>
                    </a:xfrm>
                    <a:prstGeom prst="rect">
                      <a:avLst/>
                    </a:prstGeom>
                    <a:noFill/>
                    <a:ln w="9525">
                      <a:noFill/>
                      <a:miter lim="800000"/>
                      <a:headEnd/>
                      <a:tailEnd/>
                    </a:ln>
                  </pic:spPr>
                </pic:pic>
              </a:graphicData>
            </a:graphic>
          </wp:anchor>
        </w:drawing>
      </w:r>
      <w:r>
        <w:rPr>
          <w:rFonts w:cs="Cambria"/>
          <w:noProof/>
          <w:color w:val="1D1B11"/>
          <w:lang w:eastAsia="de-DE"/>
        </w:rPr>
        <w:drawing>
          <wp:anchor distT="0" distB="0" distL="114300" distR="114300" simplePos="0" relativeHeight="251661312" behindDoc="0" locked="0" layoutInCell="1" allowOverlap="1">
            <wp:simplePos x="0" y="0"/>
            <wp:positionH relativeFrom="column">
              <wp:posOffset>1206847</wp:posOffset>
            </wp:positionH>
            <wp:positionV relativeFrom="paragraph">
              <wp:posOffset>454552</wp:posOffset>
            </wp:positionV>
            <wp:extent cx="2137554" cy="1984076"/>
            <wp:effectExtent l="19050" t="0" r="0" b="0"/>
            <wp:wrapNone/>
            <wp:docPr id="8" name="Bild 8" descr="C:\Users\noraa\Documents\SVP Chemie\Schwefel\schwefeldioxidherstell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raa\Documents\SVP Chemie\Schwefel\schwefeldioxidherstellung.png"/>
                    <pic:cNvPicPr>
                      <a:picLocks noChangeAspect="1" noChangeArrowheads="1"/>
                    </pic:cNvPicPr>
                  </pic:nvPicPr>
                  <pic:blipFill>
                    <a:blip r:embed="rId15" cstate="print"/>
                    <a:srcRect/>
                    <a:stretch>
                      <a:fillRect/>
                    </a:stretch>
                  </pic:blipFill>
                  <pic:spPr bwMode="auto">
                    <a:xfrm>
                      <a:off x="0" y="0"/>
                      <a:ext cx="2137554" cy="1984076"/>
                    </a:xfrm>
                    <a:prstGeom prst="rect">
                      <a:avLst/>
                    </a:prstGeom>
                    <a:noFill/>
                    <a:ln w="9525">
                      <a:noFill/>
                      <a:miter lim="800000"/>
                      <a:headEnd/>
                      <a:tailEnd/>
                    </a:ln>
                  </pic:spPr>
                </pic:pic>
              </a:graphicData>
            </a:graphic>
          </wp:anchor>
        </w:drawing>
      </w:r>
      <w:r>
        <w:rPr>
          <w:rFonts w:cs="Cambria"/>
          <w:color w:val="1D1B11"/>
        </w:rPr>
        <w:t>Beobachtung:</w:t>
      </w:r>
      <w:r>
        <w:rPr>
          <w:rFonts w:cs="Cambria"/>
          <w:color w:val="1D1B11"/>
        </w:rPr>
        <w:tab/>
      </w:r>
      <w:r>
        <w:rPr>
          <w:rFonts w:cs="Cambria"/>
          <w:color w:val="1D1B11"/>
        </w:rPr>
        <w:tab/>
        <w:t xml:space="preserve">Das Natriumsulfit schäumt auf. Nach einiger Zeit entfärben sich die Blätter oder die gefärbten Stoffteile.  </w:t>
      </w:r>
    </w:p>
    <w:p w:rsidR="00DB29E7" w:rsidRDefault="00DB29E7" w:rsidP="00DB29E7">
      <w:pPr>
        <w:keepNext/>
        <w:tabs>
          <w:tab w:val="left" w:pos="1701"/>
          <w:tab w:val="left" w:pos="1985"/>
        </w:tabs>
        <w:ind w:left="1980" w:hanging="1980"/>
        <w:rPr>
          <w:rFonts w:cs="Cambria"/>
          <w:color w:val="1D1B11"/>
        </w:rPr>
      </w:pPr>
    </w:p>
    <w:p w:rsidR="00DB29E7" w:rsidRDefault="00DB29E7" w:rsidP="00DB29E7">
      <w:pPr>
        <w:keepNext/>
        <w:tabs>
          <w:tab w:val="left" w:pos="1701"/>
          <w:tab w:val="left" w:pos="1985"/>
        </w:tabs>
        <w:ind w:left="1980" w:hanging="1980"/>
        <w:rPr>
          <w:rFonts w:cs="Cambria"/>
          <w:color w:val="1D1B11"/>
        </w:rPr>
      </w:pPr>
    </w:p>
    <w:p w:rsidR="00DB29E7" w:rsidRDefault="00DB29E7" w:rsidP="00DB29E7">
      <w:pPr>
        <w:keepNext/>
        <w:tabs>
          <w:tab w:val="left" w:pos="1701"/>
          <w:tab w:val="left" w:pos="1985"/>
        </w:tabs>
        <w:ind w:left="1980" w:hanging="1980"/>
        <w:rPr>
          <w:rFonts w:cs="Cambria"/>
          <w:color w:val="1D1B11"/>
        </w:rPr>
      </w:pPr>
    </w:p>
    <w:p w:rsidR="00DB29E7" w:rsidRDefault="00DB29E7" w:rsidP="00DB29E7">
      <w:pPr>
        <w:keepNext/>
        <w:tabs>
          <w:tab w:val="left" w:pos="1701"/>
          <w:tab w:val="left" w:pos="1985"/>
        </w:tabs>
        <w:ind w:left="1980" w:hanging="1980"/>
      </w:pPr>
    </w:p>
    <w:p w:rsidR="00DB29E7" w:rsidRDefault="00DB29E7" w:rsidP="00DB29E7">
      <w:pPr>
        <w:keepNext/>
        <w:tabs>
          <w:tab w:val="left" w:pos="1701"/>
          <w:tab w:val="left" w:pos="1985"/>
        </w:tabs>
        <w:ind w:left="1980" w:hanging="1980"/>
      </w:pPr>
    </w:p>
    <w:p w:rsidR="00DB29E7" w:rsidRDefault="00DB29E7" w:rsidP="00DB29E7">
      <w:pPr>
        <w:autoSpaceDE w:val="0"/>
        <w:autoSpaceDN w:val="0"/>
        <w:adjustRightInd w:val="0"/>
        <w:spacing w:line="240" w:lineRule="auto"/>
        <w:jc w:val="left"/>
        <w:rPr>
          <w:rFonts w:cs="Cambria"/>
          <w:color w:val="auto"/>
          <w:sz w:val="18"/>
          <w:szCs w:val="18"/>
        </w:rPr>
      </w:pPr>
      <w:r>
        <w:rPr>
          <w:rFonts w:cs="Cambria"/>
          <w:color w:val="auto"/>
          <w:sz w:val="18"/>
          <w:szCs w:val="18"/>
        </w:rPr>
        <w:t>Abb. 1 -  Der Aufbau der Apparatur und die gebleichten Blätter.</w:t>
      </w:r>
    </w:p>
    <w:p w:rsidR="00DB29E7" w:rsidRDefault="00DB29E7" w:rsidP="00DB29E7">
      <w:pPr>
        <w:tabs>
          <w:tab w:val="left" w:pos="1701"/>
          <w:tab w:val="left" w:pos="1985"/>
        </w:tabs>
        <w:autoSpaceDE w:val="0"/>
        <w:autoSpaceDN w:val="0"/>
        <w:adjustRightInd w:val="0"/>
        <w:ind w:left="1979" w:hanging="1979"/>
        <w:rPr>
          <w:rFonts w:cs="Cambria"/>
          <w:color w:val="1D1B11"/>
        </w:rPr>
      </w:pPr>
      <w:r>
        <w:rPr>
          <w:rFonts w:cs="Cambria"/>
          <w:color w:val="1D1B11"/>
        </w:rPr>
        <w:t>Deutung:</w:t>
      </w:r>
      <w:r>
        <w:rPr>
          <w:rFonts w:cs="Cambria"/>
          <w:color w:val="1D1B11"/>
        </w:rPr>
        <w:tab/>
      </w:r>
      <w:r>
        <w:rPr>
          <w:rFonts w:cs="Cambria"/>
          <w:color w:val="1D1B11"/>
        </w:rPr>
        <w:tab/>
        <w:t>Das Natriumsulfit reagiert mit der Schwefelsäure zu Wasser, Schwefeldi</w:t>
      </w:r>
      <w:r>
        <w:rPr>
          <w:rFonts w:cs="Cambria"/>
          <w:color w:val="1D1B11"/>
        </w:rPr>
        <w:t>o</w:t>
      </w:r>
      <w:r>
        <w:rPr>
          <w:rFonts w:cs="Cambria"/>
          <w:color w:val="1D1B11"/>
        </w:rPr>
        <w:t>xid und Natriumsulfat.</w:t>
      </w:r>
    </w:p>
    <w:p w:rsidR="00DB29E7" w:rsidRDefault="00DB29E7" w:rsidP="00DB29E7">
      <w:pPr>
        <w:tabs>
          <w:tab w:val="left" w:pos="1701"/>
          <w:tab w:val="left" w:pos="1985"/>
        </w:tabs>
        <w:autoSpaceDE w:val="0"/>
        <w:autoSpaceDN w:val="0"/>
        <w:adjustRightInd w:val="0"/>
        <w:ind w:left="1979" w:hanging="1979"/>
        <w:rPr>
          <w:rFonts w:cs="Cambria"/>
          <w:color w:val="1D1B11"/>
          <w:vertAlign w:val="subscript"/>
        </w:rPr>
      </w:pPr>
      <w:r>
        <w:rPr>
          <w:rFonts w:cs="Cambria"/>
          <w:color w:val="1D1B11"/>
        </w:rPr>
        <w:tab/>
      </w:r>
      <w:r>
        <w:rPr>
          <w:rFonts w:cs="Cambria"/>
          <w:color w:val="1D1B11"/>
        </w:rPr>
        <w:tab/>
        <w:t>Na</w:t>
      </w:r>
      <w:r>
        <w:rPr>
          <w:rFonts w:cs="Cambria"/>
          <w:color w:val="1D1B11"/>
          <w:vertAlign w:val="subscript"/>
        </w:rPr>
        <w:t>2</w:t>
      </w:r>
      <w:r>
        <w:rPr>
          <w:rFonts w:cs="Cambria"/>
          <w:color w:val="1D1B11"/>
        </w:rPr>
        <w:t>SO</w:t>
      </w:r>
      <w:r>
        <w:rPr>
          <w:rFonts w:cs="Cambria"/>
          <w:color w:val="1D1B11"/>
          <w:vertAlign w:val="subscript"/>
        </w:rPr>
        <w:t xml:space="preserve">3 (s) </w:t>
      </w:r>
      <w:r>
        <w:rPr>
          <w:rFonts w:cs="Cambria"/>
          <w:color w:val="1D1B11"/>
        </w:rPr>
        <w:t>+ 2 H</w:t>
      </w:r>
      <w:r>
        <w:rPr>
          <w:rFonts w:cs="Cambria"/>
          <w:color w:val="1D1B11"/>
          <w:vertAlign w:val="superscript"/>
        </w:rPr>
        <w:t>+</w:t>
      </w:r>
      <w:r>
        <w:rPr>
          <w:rFonts w:cs="Cambria"/>
          <w:color w:val="1D1B11"/>
          <w:vertAlign w:val="subscript"/>
        </w:rPr>
        <w:t>(</w:t>
      </w:r>
      <w:proofErr w:type="spellStart"/>
      <w:r>
        <w:rPr>
          <w:rFonts w:cs="Cambria"/>
          <w:color w:val="1D1B11"/>
          <w:vertAlign w:val="subscript"/>
        </w:rPr>
        <w:t>aq</w:t>
      </w:r>
      <w:proofErr w:type="spellEnd"/>
      <w:r>
        <w:rPr>
          <w:rFonts w:cs="Cambria"/>
          <w:color w:val="1D1B11"/>
          <w:vertAlign w:val="subscript"/>
        </w:rPr>
        <w:t xml:space="preserve">) </w:t>
      </w:r>
      <w:r>
        <w:rPr>
          <w:rFonts w:cs="Cambria"/>
          <w:color w:val="1D1B11"/>
        </w:rPr>
        <w:t>+</w:t>
      </w:r>
      <w:r>
        <w:rPr>
          <w:rFonts w:cs="Cambria"/>
          <w:color w:val="1D1B11"/>
          <w:vertAlign w:val="subscript"/>
        </w:rPr>
        <w:t xml:space="preserve">  </w:t>
      </w:r>
      <w:r>
        <w:rPr>
          <w:rFonts w:cs="Cambria"/>
          <w:color w:val="1D1B11"/>
        </w:rPr>
        <w:t>SO</w:t>
      </w:r>
      <w:r>
        <w:rPr>
          <w:rFonts w:cs="Cambria"/>
          <w:color w:val="1D1B11"/>
          <w:vertAlign w:val="subscript"/>
        </w:rPr>
        <w:t>4</w:t>
      </w:r>
      <w:r>
        <w:rPr>
          <w:rFonts w:cs="Cambria"/>
          <w:color w:val="1D1B11"/>
          <w:vertAlign w:val="superscript"/>
        </w:rPr>
        <w:t>2-</w:t>
      </w:r>
      <w:r>
        <w:rPr>
          <w:rFonts w:cs="Cambria"/>
          <w:color w:val="1D1B11"/>
          <w:vertAlign w:val="subscript"/>
        </w:rPr>
        <w:t xml:space="preserve"> (</w:t>
      </w:r>
      <w:proofErr w:type="spellStart"/>
      <w:r>
        <w:rPr>
          <w:rFonts w:cs="Cambria"/>
          <w:color w:val="1D1B11"/>
          <w:vertAlign w:val="subscript"/>
        </w:rPr>
        <w:t>aq</w:t>
      </w:r>
      <w:proofErr w:type="spellEnd"/>
      <w:r>
        <w:rPr>
          <w:rFonts w:cs="Cambria"/>
          <w:color w:val="1D1B11"/>
          <w:vertAlign w:val="subscript"/>
        </w:rPr>
        <w:t>)</w:t>
      </w:r>
      <w:r>
        <w:rPr>
          <w:rFonts w:cs="Cambria"/>
          <w:color w:val="1D1B11"/>
        </w:rPr>
        <w:t xml:space="preserve"> </w:t>
      </w:r>
      <w:r w:rsidRPr="00A6563D">
        <w:rPr>
          <w:rFonts w:cs="Cambria"/>
          <w:color w:val="1D1B11"/>
        </w:rPr>
        <w:sym w:font="Wingdings" w:char="F0E0"/>
      </w:r>
      <w:r>
        <w:rPr>
          <w:rFonts w:cs="Cambria"/>
          <w:color w:val="1D1B11"/>
        </w:rPr>
        <w:t xml:space="preserve"> SO</w:t>
      </w:r>
      <w:r>
        <w:rPr>
          <w:rFonts w:cs="Cambria"/>
          <w:color w:val="1D1B11"/>
          <w:vertAlign w:val="subscript"/>
        </w:rPr>
        <w:t>2(g)</w:t>
      </w:r>
      <w:r>
        <w:rPr>
          <w:rFonts w:cs="Cambria"/>
          <w:color w:val="1D1B11"/>
        </w:rPr>
        <w:t xml:space="preserve"> + H</w:t>
      </w:r>
      <w:r>
        <w:rPr>
          <w:rFonts w:cs="Cambria"/>
          <w:color w:val="1D1B11"/>
          <w:vertAlign w:val="subscript"/>
        </w:rPr>
        <w:t>2</w:t>
      </w:r>
      <w:r>
        <w:rPr>
          <w:rFonts w:cs="Cambria"/>
          <w:color w:val="1D1B11"/>
        </w:rPr>
        <w:t>O</w:t>
      </w:r>
      <w:r>
        <w:rPr>
          <w:rFonts w:cs="Cambria"/>
          <w:color w:val="1D1B11"/>
          <w:vertAlign w:val="subscript"/>
        </w:rPr>
        <w:t>(l)</w:t>
      </w:r>
      <w:r>
        <w:rPr>
          <w:rFonts w:cs="Cambria"/>
          <w:color w:val="1D1B11"/>
          <w:vertAlign w:val="superscript"/>
        </w:rPr>
        <w:t xml:space="preserve"> </w:t>
      </w:r>
      <w:r>
        <w:rPr>
          <w:rFonts w:cs="Cambria"/>
          <w:color w:val="1D1B11"/>
        </w:rPr>
        <w:t>+ 2Na</w:t>
      </w:r>
      <w:r>
        <w:rPr>
          <w:rFonts w:cs="Cambria"/>
          <w:color w:val="1D1B11"/>
          <w:vertAlign w:val="superscript"/>
        </w:rPr>
        <w:t>+</w:t>
      </w:r>
      <w:r>
        <w:rPr>
          <w:rFonts w:cs="Cambria"/>
          <w:color w:val="1D1B11"/>
          <w:vertAlign w:val="subscript"/>
        </w:rPr>
        <w:t>(</w:t>
      </w:r>
      <w:proofErr w:type="spellStart"/>
      <w:r>
        <w:rPr>
          <w:rFonts w:cs="Cambria"/>
          <w:color w:val="1D1B11"/>
          <w:vertAlign w:val="subscript"/>
        </w:rPr>
        <w:t>aq</w:t>
      </w:r>
      <w:proofErr w:type="spellEnd"/>
      <w:r>
        <w:rPr>
          <w:rFonts w:cs="Cambria"/>
          <w:color w:val="1D1B11"/>
          <w:vertAlign w:val="subscript"/>
        </w:rPr>
        <w:t>)</w:t>
      </w:r>
      <w:r>
        <w:rPr>
          <w:rFonts w:cs="Cambria"/>
          <w:color w:val="1D1B11"/>
        </w:rPr>
        <w:t xml:space="preserve"> + SO</w:t>
      </w:r>
      <w:r>
        <w:rPr>
          <w:rFonts w:cs="Cambria"/>
          <w:color w:val="1D1B11"/>
          <w:vertAlign w:val="subscript"/>
        </w:rPr>
        <w:t>4</w:t>
      </w:r>
      <w:r>
        <w:rPr>
          <w:rFonts w:cs="Cambria"/>
          <w:color w:val="1D1B11"/>
          <w:vertAlign w:val="superscript"/>
        </w:rPr>
        <w:t>2-</w:t>
      </w:r>
      <w:r>
        <w:rPr>
          <w:rFonts w:cs="Cambria"/>
          <w:color w:val="1D1B11"/>
          <w:vertAlign w:val="subscript"/>
        </w:rPr>
        <w:t>(</w:t>
      </w:r>
      <w:proofErr w:type="spellStart"/>
      <w:r>
        <w:rPr>
          <w:rFonts w:cs="Cambria"/>
          <w:color w:val="1D1B11"/>
          <w:vertAlign w:val="subscript"/>
        </w:rPr>
        <w:t>aq</w:t>
      </w:r>
      <w:proofErr w:type="spellEnd"/>
      <w:r>
        <w:rPr>
          <w:rFonts w:cs="Cambria"/>
          <w:color w:val="1D1B11"/>
          <w:vertAlign w:val="subscript"/>
        </w:rPr>
        <w:t>)</w:t>
      </w:r>
    </w:p>
    <w:p w:rsidR="00DB29E7" w:rsidRDefault="00DB29E7" w:rsidP="00DB29E7">
      <w:pPr>
        <w:tabs>
          <w:tab w:val="left" w:pos="1701"/>
          <w:tab w:val="left" w:pos="1985"/>
        </w:tabs>
        <w:autoSpaceDE w:val="0"/>
        <w:autoSpaceDN w:val="0"/>
        <w:adjustRightInd w:val="0"/>
        <w:ind w:left="1979" w:hanging="1979"/>
        <w:rPr>
          <w:rFonts w:cs="Cambria"/>
          <w:color w:val="1D1B11"/>
        </w:rPr>
      </w:pPr>
      <w:r>
        <w:rPr>
          <w:rFonts w:cs="Cambria"/>
          <w:color w:val="1D1B11"/>
          <w:vertAlign w:val="subscript"/>
        </w:rPr>
        <w:tab/>
      </w:r>
      <w:r>
        <w:rPr>
          <w:rFonts w:cs="Cambria"/>
          <w:color w:val="1D1B11"/>
          <w:vertAlign w:val="subscript"/>
        </w:rPr>
        <w:tab/>
      </w:r>
      <w:r>
        <w:rPr>
          <w:rFonts w:cs="Cambria"/>
          <w:color w:val="1D1B11"/>
        </w:rPr>
        <w:t>Das Schwefeldioxid reduziert das Blattgrün.</w:t>
      </w:r>
    </w:p>
    <w:p w:rsidR="00DB29E7" w:rsidRDefault="00DB29E7" w:rsidP="00DB29E7">
      <w:pPr>
        <w:tabs>
          <w:tab w:val="left" w:pos="1701"/>
          <w:tab w:val="left" w:pos="1985"/>
        </w:tabs>
        <w:autoSpaceDE w:val="0"/>
        <w:autoSpaceDN w:val="0"/>
        <w:adjustRightInd w:val="0"/>
        <w:ind w:left="1979" w:hanging="1979"/>
        <w:rPr>
          <w:rFonts w:cs="Cambria"/>
          <w:color w:val="1D1B11"/>
        </w:rPr>
      </w:pPr>
      <w:r>
        <w:rPr>
          <w:rFonts w:cs="Cambria"/>
          <w:color w:val="1D1B11"/>
        </w:rPr>
        <w:t>Literatur:</w:t>
      </w:r>
      <w:r>
        <w:rPr>
          <w:rFonts w:cs="Cambria"/>
          <w:color w:val="1D1B11"/>
        </w:rPr>
        <w:tab/>
      </w:r>
      <w:r>
        <w:rPr>
          <w:rFonts w:cs="Cambria"/>
          <w:color w:val="1D1B11"/>
        </w:rPr>
        <w:tab/>
        <w:t xml:space="preserve">K. Häusler, H. </w:t>
      </w:r>
      <w:proofErr w:type="spellStart"/>
      <w:r>
        <w:rPr>
          <w:rFonts w:cs="Cambria"/>
          <w:color w:val="1D1B11"/>
        </w:rPr>
        <w:t>Rampf</w:t>
      </w:r>
      <w:proofErr w:type="spellEnd"/>
      <w:r>
        <w:rPr>
          <w:rFonts w:cs="Cambria"/>
          <w:color w:val="1D1B11"/>
        </w:rPr>
        <w:t xml:space="preserve">, R. Reichelt, Experimente für den Chemieunterricht mit einer Einführung in die Labortechnik, </w:t>
      </w:r>
      <w:proofErr w:type="spellStart"/>
      <w:r>
        <w:rPr>
          <w:rFonts w:cs="Cambria"/>
          <w:color w:val="1D1B11"/>
        </w:rPr>
        <w:t>Oldenbourg</w:t>
      </w:r>
      <w:proofErr w:type="spellEnd"/>
      <w:r>
        <w:rPr>
          <w:rFonts w:cs="Cambria"/>
          <w:color w:val="1D1B11"/>
        </w:rPr>
        <w:t>, 2. Auflage 1995, Druck 2013, S. 154, 157.</w:t>
      </w:r>
    </w:p>
    <w:p w:rsidR="00DB29E7" w:rsidRDefault="00DB29E7" w:rsidP="00DB29E7">
      <w:pPr>
        <w:tabs>
          <w:tab w:val="left" w:pos="1701"/>
          <w:tab w:val="left" w:pos="1985"/>
        </w:tabs>
        <w:autoSpaceDE w:val="0"/>
        <w:autoSpaceDN w:val="0"/>
        <w:adjustRightInd w:val="0"/>
        <w:ind w:left="1980" w:hanging="1980"/>
        <w:rPr>
          <w:rFonts w:cs="Cambria"/>
          <w:color w:val="1D1B11"/>
        </w:rPr>
      </w:pPr>
      <w:r>
        <w:rPr>
          <w:rFonts w:cs="Cambria"/>
          <w:color w:val="1D1B11"/>
        </w:rPr>
        <w:tab/>
      </w:r>
      <w:r>
        <w:rPr>
          <w:rFonts w:cs="Cambria"/>
          <w:color w:val="1D1B11"/>
        </w:rPr>
        <w:tab/>
        <w:t xml:space="preserve">H. Schmidkunz, Chemische Freihandversuche Band 1, Kleine Versuche mit großer Wirkung, </w:t>
      </w:r>
      <w:proofErr w:type="spellStart"/>
      <w:r>
        <w:rPr>
          <w:rFonts w:cs="Cambria"/>
          <w:color w:val="1D1B11"/>
        </w:rPr>
        <w:t>Aulis</w:t>
      </w:r>
      <w:proofErr w:type="spellEnd"/>
      <w:r>
        <w:rPr>
          <w:rFonts w:cs="Cambria"/>
          <w:color w:val="1D1B11"/>
        </w:rPr>
        <w:t xml:space="preserve"> Verlag, 1. Auflage, Seite 167. </w:t>
      </w:r>
    </w:p>
    <w:p w:rsidR="00DB29E7" w:rsidRDefault="00DB29E7" w:rsidP="00DB29E7">
      <w:pPr>
        <w:tabs>
          <w:tab w:val="left" w:pos="1701"/>
          <w:tab w:val="left" w:pos="1985"/>
        </w:tabs>
        <w:autoSpaceDE w:val="0"/>
        <w:autoSpaceDN w:val="0"/>
        <w:adjustRightInd w:val="0"/>
        <w:ind w:left="1979" w:hanging="1979"/>
        <w:rPr>
          <w:rFonts w:cs="Cambria"/>
          <w:color w:val="1D1B11"/>
        </w:rPr>
      </w:pPr>
      <w:r>
        <w:rPr>
          <w:rFonts w:cs="Cambria"/>
          <w:color w:val="1D1B11"/>
        </w:rPr>
        <w:t xml:space="preserve">Entsorgung: </w:t>
      </w:r>
      <w:r>
        <w:rPr>
          <w:rFonts w:cs="Cambria"/>
          <w:color w:val="1D1B11"/>
        </w:rPr>
        <w:tab/>
      </w:r>
      <w:r>
        <w:rPr>
          <w:rFonts w:cs="Cambria"/>
          <w:color w:val="1D1B11"/>
        </w:rPr>
        <w:tab/>
        <w:t>Das überschüssige Gas in den Abzug leiten. Die Lösung wird im Säure-Basen-Behälter entsorgt.</w:t>
      </w:r>
    </w:p>
    <w:p w:rsidR="00DB29E7" w:rsidRDefault="00DB29E7" w:rsidP="00DB29E7">
      <w:pPr>
        <w:tabs>
          <w:tab w:val="left" w:pos="1701"/>
          <w:tab w:val="left" w:pos="1985"/>
        </w:tabs>
        <w:ind w:left="1980" w:hanging="1980"/>
      </w:pPr>
      <w:r>
        <w:pict>
          <v:shape id="_x0000_s1026" type="#_x0000_t202" style="width:462.45pt;height:181.65pt;mso-position-horizontal-relative:char;mso-position-vertical-relative:line;mso-width-relative:margin;mso-height-relative:margin" fillcolor="white [3201]" strokecolor="#c0504d [3205]" strokeweight="1pt">
            <v:stroke dashstyle="dash"/>
            <v:shadow color="#868686"/>
            <v:textbox style="mso-next-textbox:#_x0000_s1026">
              <w:txbxContent>
                <w:p w:rsidR="00DB29E7" w:rsidRDefault="00DB29E7" w:rsidP="00DB29E7">
                  <w:pPr>
                    <w:tabs>
                      <w:tab w:val="left" w:pos="1701"/>
                      <w:tab w:val="left" w:pos="1985"/>
                    </w:tabs>
                    <w:autoSpaceDE w:val="0"/>
                    <w:autoSpaceDN w:val="0"/>
                    <w:adjustRightInd w:val="0"/>
                    <w:rPr>
                      <w:rFonts w:cs="Cambria"/>
                      <w:color w:val="1F497D"/>
                    </w:rPr>
                  </w:pPr>
                  <w:r>
                    <w:rPr>
                      <w:rFonts w:cs="Cambria"/>
                      <w:color w:val="1F497D"/>
                    </w:rPr>
                    <w:t>Alternativ kann das Schwefeldioxid auch in Wasser aufgefangen werden und für weitere Ve</w:t>
                  </w:r>
                  <w:r>
                    <w:rPr>
                      <w:rFonts w:cs="Cambria"/>
                      <w:color w:val="1F497D"/>
                    </w:rPr>
                    <w:t>r</w:t>
                  </w:r>
                  <w:r>
                    <w:rPr>
                      <w:rFonts w:cs="Cambria"/>
                      <w:color w:val="1F497D"/>
                    </w:rPr>
                    <w:t xml:space="preserve">suche verwendet werden, um diese zu charakterisieren. </w:t>
                  </w:r>
                </w:p>
                <w:p w:rsidR="00DB29E7" w:rsidRDefault="00DB29E7" w:rsidP="00DB29E7">
                  <w:pPr>
                    <w:tabs>
                      <w:tab w:val="left" w:pos="1701"/>
                      <w:tab w:val="left" w:pos="1985"/>
                    </w:tabs>
                    <w:autoSpaceDE w:val="0"/>
                    <w:autoSpaceDN w:val="0"/>
                    <w:adjustRightInd w:val="0"/>
                    <w:rPr>
                      <w:rFonts w:cs="Cambria"/>
                      <w:color w:val="1F497D"/>
                    </w:rPr>
                  </w:pPr>
                  <w:r>
                    <w:rPr>
                      <w:rFonts w:cs="Cambria"/>
                      <w:color w:val="1F497D"/>
                    </w:rPr>
                    <w:t>Alternativ können auch Blüten in Natriumsulfit-Lösung eingelegt werden, die ebenfalls ble</w:t>
                  </w:r>
                  <w:r>
                    <w:rPr>
                      <w:rFonts w:cs="Cambria"/>
                      <w:color w:val="1F497D"/>
                    </w:rPr>
                    <w:t>i</w:t>
                  </w:r>
                  <w:r>
                    <w:rPr>
                      <w:rFonts w:cs="Cambria"/>
                      <w:color w:val="1F497D"/>
                    </w:rPr>
                    <w:t>chen. Dies ist eine ungefährlichere Lösung, um die Bleichwirkung von SO</w:t>
                  </w:r>
                  <w:r>
                    <w:rPr>
                      <w:rFonts w:cs="Cambria"/>
                      <w:color w:val="1F497D"/>
                      <w:vertAlign w:val="subscript"/>
                    </w:rPr>
                    <w:t>2</w:t>
                  </w:r>
                  <w:r>
                    <w:rPr>
                      <w:rFonts w:cs="Cambria"/>
                      <w:color w:val="1F497D"/>
                    </w:rPr>
                    <w:t xml:space="preserve"> zu  demonstrieren. Es kann allerdings zu Fehlvorstellungen kommen, da das Gas nicht sichtbar ist. Der Versuch könnte auch genutzt werden, um das Lösen von Gasen in Wasser zu zeigen. Um SO</w:t>
                  </w:r>
                  <w:r>
                    <w:rPr>
                      <w:rFonts w:cs="Cambria"/>
                      <w:color w:val="1F497D"/>
                      <w:vertAlign w:val="subscript"/>
                    </w:rPr>
                    <w:t>2</w:t>
                  </w:r>
                  <w:r>
                    <w:rPr>
                      <w:rFonts w:cs="Cambria"/>
                      <w:color w:val="1F497D"/>
                    </w:rPr>
                    <w:t xml:space="preserve"> </w:t>
                  </w:r>
                  <w:r w:rsidRPr="00D34A6E">
                    <w:rPr>
                      <w:color w:val="1F497D" w:themeColor="text2"/>
                    </w:rPr>
                    <w:t>herzuste</w:t>
                  </w:r>
                  <w:r w:rsidRPr="00D34A6E">
                    <w:rPr>
                      <w:color w:val="1F497D" w:themeColor="text2"/>
                    </w:rPr>
                    <w:t>l</w:t>
                  </w:r>
                  <w:r w:rsidRPr="00D34A6E">
                    <w:rPr>
                      <w:color w:val="1F497D" w:themeColor="text2"/>
                    </w:rPr>
                    <w:t>len</w:t>
                  </w:r>
                  <w:r>
                    <w:rPr>
                      <w:rFonts w:cs="Cambria"/>
                      <w:color w:val="1F497D"/>
                    </w:rPr>
                    <w:t xml:space="preserve">, kann auch Schwefel im Standzylinder verbrannt werden, was auch recht eindrucksvoll ist. </w:t>
                  </w:r>
                </w:p>
                <w:p w:rsidR="00DB29E7" w:rsidRDefault="00DB29E7" w:rsidP="00DB29E7">
                  <w:pPr>
                    <w:tabs>
                      <w:tab w:val="left" w:pos="1701"/>
                      <w:tab w:val="left" w:pos="1985"/>
                    </w:tabs>
                    <w:autoSpaceDE w:val="0"/>
                    <w:autoSpaceDN w:val="0"/>
                    <w:adjustRightInd w:val="0"/>
                    <w:rPr>
                      <w:rFonts w:cs="Cambria"/>
                      <w:color w:val="1F497D"/>
                    </w:rPr>
                  </w:pPr>
                  <w:r>
                    <w:rPr>
                      <w:rFonts w:cs="Cambria"/>
                      <w:color w:val="1F497D"/>
                    </w:rPr>
                    <w:t xml:space="preserve">Der Versuch kann als Einstieg in das Thema Schwefeloxide verwendet werden. </w:t>
                  </w:r>
                </w:p>
                <w:p w:rsidR="00DB29E7" w:rsidRPr="00D34A6E" w:rsidRDefault="00DB29E7" w:rsidP="00DB29E7"/>
              </w:txbxContent>
            </v:textbox>
            <w10:wrap type="none"/>
            <w10:anchorlock/>
          </v:shape>
        </w:pict>
      </w:r>
    </w:p>
    <w:p w:rsidR="00DB29E7" w:rsidRDefault="00DB29E7" w:rsidP="00DB29E7">
      <w:pPr>
        <w:tabs>
          <w:tab w:val="left" w:pos="1701"/>
          <w:tab w:val="left" w:pos="1985"/>
        </w:tabs>
        <w:ind w:left="1980" w:hanging="1980"/>
      </w:pPr>
    </w:p>
    <w:p w:rsidR="00DB29E7" w:rsidRDefault="00DB29E7" w:rsidP="00DB29E7">
      <w:pPr>
        <w:tabs>
          <w:tab w:val="left" w:pos="1701"/>
          <w:tab w:val="left" w:pos="1985"/>
        </w:tabs>
      </w:pPr>
    </w:p>
    <w:p w:rsidR="00B93CB0" w:rsidRDefault="00B93CB0"/>
    <w:sectPr w:rsidR="00B93CB0" w:rsidSect="00B93CB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DB29E7"/>
    <w:rsid w:val="0000249D"/>
    <w:rsid w:val="000109E3"/>
    <w:rsid w:val="00011AC0"/>
    <w:rsid w:val="0001418F"/>
    <w:rsid w:val="00016490"/>
    <w:rsid w:val="000202FB"/>
    <w:rsid w:val="00044AD5"/>
    <w:rsid w:val="00047287"/>
    <w:rsid w:val="00051DB1"/>
    <w:rsid w:val="000712EA"/>
    <w:rsid w:val="00071664"/>
    <w:rsid w:val="00071F21"/>
    <w:rsid w:val="000B5A53"/>
    <w:rsid w:val="000B7B81"/>
    <w:rsid w:val="000C69D2"/>
    <w:rsid w:val="000E56BA"/>
    <w:rsid w:val="000F0499"/>
    <w:rsid w:val="000F5F36"/>
    <w:rsid w:val="00104F91"/>
    <w:rsid w:val="00105CD3"/>
    <w:rsid w:val="001135ED"/>
    <w:rsid w:val="00114B5F"/>
    <w:rsid w:val="0011700F"/>
    <w:rsid w:val="00117DF5"/>
    <w:rsid w:val="00124004"/>
    <w:rsid w:val="00125FA3"/>
    <w:rsid w:val="00133E86"/>
    <w:rsid w:val="0013665F"/>
    <w:rsid w:val="00141789"/>
    <w:rsid w:val="00153566"/>
    <w:rsid w:val="00160B0B"/>
    <w:rsid w:val="00162FC5"/>
    <w:rsid w:val="00163AB4"/>
    <w:rsid w:val="00163BCB"/>
    <w:rsid w:val="00176222"/>
    <w:rsid w:val="00180232"/>
    <w:rsid w:val="00181C91"/>
    <w:rsid w:val="00191E34"/>
    <w:rsid w:val="001934D1"/>
    <w:rsid w:val="00194426"/>
    <w:rsid w:val="001A5655"/>
    <w:rsid w:val="001C2C46"/>
    <w:rsid w:val="001C306B"/>
    <w:rsid w:val="001C5C03"/>
    <w:rsid w:val="001D7831"/>
    <w:rsid w:val="001E691A"/>
    <w:rsid w:val="00202A5F"/>
    <w:rsid w:val="002058D0"/>
    <w:rsid w:val="0020742B"/>
    <w:rsid w:val="00217EFE"/>
    <w:rsid w:val="00222B6A"/>
    <w:rsid w:val="00242A32"/>
    <w:rsid w:val="00257F3F"/>
    <w:rsid w:val="002606BA"/>
    <w:rsid w:val="002608F0"/>
    <w:rsid w:val="002726D5"/>
    <w:rsid w:val="00294AEC"/>
    <w:rsid w:val="002A4424"/>
    <w:rsid w:val="002B2937"/>
    <w:rsid w:val="002E1486"/>
    <w:rsid w:val="002E2AA5"/>
    <w:rsid w:val="002E2B43"/>
    <w:rsid w:val="002E47B4"/>
    <w:rsid w:val="00300EE4"/>
    <w:rsid w:val="0030304D"/>
    <w:rsid w:val="00303685"/>
    <w:rsid w:val="0030793D"/>
    <w:rsid w:val="003109AD"/>
    <w:rsid w:val="00325AC9"/>
    <w:rsid w:val="003359AC"/>
    <w:rsid w:val="00347497"/>
    <w:rsid w:val="003477BB"/>
    <w:rsid w:val="003529F1"/>
    <w:rsid w:val="003547D3"/>
    <w:rsid w:val="00365E87"/>
    <w:rsid w:val="00367980"/>
    <w:rsid w:val="00371189"/>
    <w:rsid w:val="00375369"/>
    <w:rsid w:val="00392377"/>
    <w:rsid w:val="003A389B"/>
    <w:rsid w:val="003C06F1"/>
    <w:rsid w:val="003D6196"/>
    <w:rsid w:val="003E68DE"/>
    <w:rsid w:val="003F037D"/>
    <w:rsid w:val="003F09D6"/>
    <w:rsid w:val="003F286E"/>
    <w:rsid w:val="003F63D0"/>
    <w:rsid w:val="003F6C8C"/>
    <w:rsid w:val="00401647"/>
    <w:rsid w:val="00404632"/>
    <w:rsid w:val="004077FC"/>
    <w:rsid w:val="0041546D"/>
    <w:rsid w:val="00416CCC"/>
    <w:rsid w:val="00421A97"/>
    <w:rsid w:val="004231EB"/>
    <w:rsid w:val="004307D5"/>
    <w:rsid w:val="00435FFF"/>
    <w:rsid w:val="00443A7A"/>
    <w:rsid w:val="00474566"/>
    <w:rsid w:val="00480B4F"/>
    <w:rsid w:val="004871BC"/>
    <w:rsid w:val="00491914"/>
    <w:rsid w:val="00491CA9"/>
    <w:rsid w:val="00494EDF"/>
    <w:rsid w:val="004A639D"/>
    <w:rsid w:val="004A6FB9"/>
    <w:rsid w:val="004B11F5"/>
    <w:rsid w:val="004B634C"/>
    <w:rsid w:val="004C420A"/>
    <w:rsid w:val="004D1DFD"/>
    <w:rsid w:val="004D3AD7"/>
    <w:rsid w:val="004F307E"/>
    <w:rsid w:val="004F33B7"/>
    <w:rsid w:val="004F5232"/>
    <w:rsid w:val="00505972"/>
    <w:rsid w:val="005127E5"/>
    <w:rsid w:val="00514176"/>
    <w:rsid w:val="005200CA"/>
    <w:rsid w:val="00522BE5"/>
    <w:rsid w:val="0052786C"/>
    <w:rsid w:val="005328C7"/>
    <w:rsid w:val="00541FCB"/>
    <w:rsid w:val="00543F09"/>
    <w:rsid w:val="005477A9"/>
    <w:rsid w:val="00552684"/>
    <w:rsid w:val="005562AF"/>
    <w:rsid w:val="0056023C"/>
    <w:rsid w:val="0056041D"/>
    <w:rsid w:val="00566BB0"/>
    <w:rsid w:val="00573B3A"/>
    <w:rsid w:val="0057645C"/>
    <w:rsid w:val="0058161A"/>
    <w:rsid w:val="005A11B6"/>
    <w:rsid w:val="005A39E9"/>
    <w:rsid w:val="005A4DC9"/>
    <w:rsid w:val="005A6CD8"/>
    <w:rsid w:val="005A757C"/>
    <w:rsid w:val="005C0B65"/>
    <w:rsid w:val="005C62A9"/>
    <w:rsid w:val="005C7874"/>
    <w:rsid w:val="005D3948"/>
    <w:rsid w:val="005E4298"/>
    <w:rsid w:val="005E6384"/>
    <w:rsid w:val="005F405F"/>
    <w:rsid w:val="0060248F"/>
    <w:rsid w:val="00602FF1"/>
    <w:rsid w:val="00604E91"/>
    <w:rsid w:val="00606281"/>
    <w:rsid w:val="00617A27"/>
    <w:rsid w:val="006252B7"/>
    <w:rsid w:val="006333A1"/>
    <w:rsid w:val="006419C3"/>
    <w:rsid w:val="00655AFC"/>
    <w:rsid w:val="0065724C"/>
    <w:rsid w:val="006666D3"/>
    <w:rsid w:val="00673E1C"/>
    <w:rsid w:val="00693D98"/>
    <w:rsid w:val="0069652D"/>
    <w:rsid w:val="006B2545"/>
    <w:rsid w:val="006C05EC"/>
    <w:rsid w:val="006D0F1B"/>
    <w:rsid w:val="006D4B22"/>
    <w:rsid w:val="006F1F6D"/>
    <w:rsid w:val="006F20E3"/>
    <w:rsid w:val="00704F07"/>
    <w:rsid w:val="00721F86"/>
    <w:rsid w:val="007322EF"/>
    <w:rsid w:val="0074467C"/>
    <w:rsid w:val="00745CC1"/>
    <w:rsid w:val="00756BA1"/>
    <w:rsid w:val="00770B3D"/>
    <w:rsid w:val="00792920"/>
    <w:rsid w:val="007A2A42"/>
    <w:rsid w:val="007B3B68"/>
    <w:rsid w:val="007B570C"/>
    <w:rsid w:val="007B6E96"/>
    <w:rsid w:val="007C0024"/>
    <w:rsid w:val="007C13F5"/>
    <w:rsid w:val="007C4CF8"/>
    <w:rsid w:val="007C5F72"/>
    <w:rsid w:val="007D5561"/>
    <w:rsid w:val="007D7553"/>
    <w:rsid w:val="007E0E3B"/>
    <w:rsid w:val="007E685C"/>
    <w:rsid w:val="008015A4"/>
    <w:rsid w:val="0080204D"/>
    <w:rsid w:val="008021A0"/>
    <w:rsid w:val="00820583"/>
    <w:rsid w:val="0082324C"/>
    <w:rsid w:val="00825682"/>
    <w:rsid w:val="00846D92"/>
    <w:rsid w:val="008505B9"/>
    <w:rsid w:val="00855AFD"/>
    <w:rsid w:val="008575D8"/>
    <w:rsid w:val="00874B03"/>
    <w:rsid w:val="008937B4"/>
    <w:rsid w:val="008956F5"/>
    <w:rsid w:val="008977ED"/>
    <w:rsid w:val="008B3059"/>
    <w:rsid w:val="008C1355"/>
    <w:rsid w:val="008C23FE"/>
    <w:rsid w:val="008D176C"/>
    <w:rsid w:val="008D6B6B"/>
    <w:rsid w:val="008E6454"/>
    <w:rsid w:val="009005D5"/>
    <w:rsid w:val="009021DB"/>
    <w:rsid w:val="0090331C"/>
    <w:rsid w:val="0090371D"/>
    <w:rsid w:val="00906220"/>
    <w:rsid w:val="0091654B"/>
    <w:rsid w:val="009425A1"/>
    <w:rsid w:val="00943E92"/>
    <w:rsid w:val="00944CFB"/>
    <w:rsid w:val="00946990"/>
    <w:rsid w:val="0095149D"/>
    <w:rsid w:val="0095339A"/>
    <w:rsid w:val="00953AF6"/>
    <w:rsid w:val="00954F58"/>
    <w:rsid w:val="00965251"/>
    <w:rsid w:val="00966A56"/>
    <w:rsid w:val="00971360"/>
    <w:rsid w:val="00972377"/>
    <w:rsid w:val="0097352D"/>
    <w:rsid w:val="0097394A"/>
    <w:rsid w:val="00975E0F"/>
    <w:rsid w:val="0098029A"/>
    <w:rsid w:val="00980569"/>
    <w:rsid w:val="00980A79"/>
    <w:rsid w:val="00980D94"/>
    <w:rsid w:val="00984BD9"/>
    <w:rsid w:val="009914DD"/>
    <w:rsid w:val="00995C6E"/>
    <w:rsid w:val="009B5CAB"/>
    <w:rsid w:val="009C45B3"/>
    <w:rsid w:val="009C63F9"/>
    <w:rsid w:val="009D1D4C"/>
    <w:rsid w:val="009E2992"/>
    <w:rsid w:val="009E30C6"/>
    <w:rsid w:val="009E3BD8"/>
    <w:rsid w:val="009E6B32"/>
    <w:rsid w:val="009F3FDC"/>
    <w:rsid w:val="009F51CA"/>
    <w:rsid w:val="00A0110A"/>
    <w:rsid w:val="00A12FAE"/>
    <w:rsid w:val="00A21DBB"/>
    <w:rsid w:val="00A234B1"/>
    <w:rsid w:val="00A55E01"/>
    <w:rsid w:val="00A60861"/>
    <w:rsid w:val="00A63D8C"/>
    <w:rsid w:val="00A72FD7"/>
    <w:rsid w:val="00A75665"/>
    <w:rsid w:val="00A862C4"/>
    <w:rsid w:val="00A92618"/>
    <w:rsid w:val="00A95AA4"/>
    <w:rsid w:val="00AA3AF8"/>
    <w:rsid w:val="00AA4024"/>
    <w:rsid w:val="00AA66E0"/>
    <w:rsid w:val="00AA6D1D"/>
    <w:rsid w:val="00AB5092"/>
    <w:rsid w:val="00AC19E8"/>
    <w:rsid w:val="00AC397C"/>
    <w:rsid w:val="00AE54FF"/>
    <w:rsid w:val="00AF2BD7"/>
    <w:rsid w:val="00AF58D1"/>
    <w:rsid w:val="00B0136C"/>
    <w:rsid w:val="00B04E26"/>
    <w:rsid w:val="00B05452"/>
    <w:rsid w:val="00B05CDB"/>
    <w:rsid w:val="00B1226C"/>
    <w:rsid w:val="00B1311B"/>
    <w:rsid w:val="00B1505F"/>
    <w:rsid w:val="00B15D57"/>
    <w:rsid w:val="00B25E3D"/>
    <w:rsid w:val="00B351FF"/>
    <w:rsid w:val="00B43888"/>
    <w:rsid w:val="00B47816"/>
    <w:rsid w:val="00B566AD"/>
    <w:rsid w:val="00B6050E"/>
    <w:rsid w:val="00B61774"/>
    <w:rsid w:val="00B62CD1"/>
    <w:rsid w:val="00B653AF"/>
    <w:rsid w:val="00B654C5"/>
    <w:rsid w:val="00B7579B"/>
    <w:rsid w:val="00B75B21"/>
    <w:rsid w:val="00B81161"/>
    <w:rsid w:val="00B93CB0"/>
    <w:rsid w:val="00B94727"/>
    <w:rsid w:val="00B97174"/>
    <w:rsid w:val="00BA2901"/>
    <w:rsid w:val="00BB3FD7"/>
    <w:rsid w:val="00BC18F5"/>
    <w:rsid w:val="00BD3022"/>
    <w:rsid w:val="00BD5E3A"/>
    <w:rsid w:val="00BD6AB2"/>
    <w:rsid w:val="00BD6B61"/>
    <w:rsid w:val="00BE2009"/>
    <w:rsid w:val="00BE31F4"/>
    <w:rsid w:val="00BE41E6"/>
    <w:rsid w:val="00BE5BA2"/>
    <w:rsid w:val="00BF08F1"/>
    <w:rsid w:val="00C00187"/>
    <w:rsid w:val="00C118B9"/>
    <w:rsid w:val="00C12450"/>
    <w:rsid w:val="00C13B17"/>
    <w:rsid w:val="00C14ED4"/>
    <w:rsid w:val="00C235C2"/>
    <w:rsid w:val="00C30743"/>
    <w:rsid w:val="00C40799"/>
    <w:rsid w:val="00C41822"/>
    <w:rsid w:val="00C45BD3"/>
    <w:rsid w:val="00C47453"/>
    <w:rsid w:val="00C52814"/>
    <w:rsid w:val="00C55B54"/>
    <w:rsid w:val="00C64ED0"/>
    <w:rsid w:val="00C6502D"/>
    <w:rsid w:val="00C6533A"/>
    <w:rsid w:val="00C93A84"/>
    <w:rsid w:val="00C9733C"/>
    <w:rsid w:val="00CA6B2B"/>
    <w:rsid w:val="00CB2F26"/>
    <w:rsid w:val="00CC30D9"/>
    <w:rsid w:val="00CC3820"/>
    <w:rsid w:val="00CC6AD5"/>
    <w:rsid w:val="00CD15FF"/>
    <w:rsid w:val="00CD5E2B"/>
    <w:rsid w:val="00CE632A"/>
    <w:rsid w:val="00CF6B08"/>
    <w:rsid w:val="00CF75F7"/>
    <w:rsid w:val="00D00B05"/>
    <w:rsid w:val="00D12B8C"/>
    <w:rsid w:val="00D13B63"/>
    <w:rsid w:val="00D15269"/>
    <w:rsid w:val="00D220DB"/>
    <w:rsid w:val="00D42583"/>
    <w:rsid w:val="00D476A5"/>
    <w:rsid w:val="00D53C0A"/>
    <w:rsid w:val="00D56536"/>
    <w:rsid w:val="00D5784D"/>
    <w:rsid w:val="00D67F81"/>
    <w:rsid w:val="00D74FC3"/>
    <w:rsid w:val="00D75471"/>
    <w:rsid w:val="00D81986"/>
    <w:rsid w:val="00D82354"/>
    <w:rsid w:val="00D82A97"/>
    <w:rsid w:val="00D867E1"/>
    <w:rsid w:val="00DA22D3"/>
    <w:rsid w:val="00DA4EC1"/>
    <w:rsid w:val="00DB29E7"/>
    <w:rsid w:val="00DB4079"/>
    <w:rsid w:val="00DC7A1A"/>
    <w:rsid w:val="00DD575F"/>
    <w:rsid w:val="00DE1180"/>
    <w:rsid w:val="00DE2060"/>
    <w:rsid w:val="00DE3E4F"/>
    <w:rsid w:val="00DF2622"/>
    <w:rsid w:val="00DF61BF"/>
    <w:rsid w:val="00E00713"/>
    <w:rsid w:val="00E02C43"/>
    <w:rsid w:val="00E068D5"/>
    <w:rsid w:val="00E06DD6"/>
    <w:rsid w:val="00E07A6D"/>
    <w:rsid w:val="00E20680"/>
    <w:rsid w:val="00E36F4F"/>
    <w:rsid w:val="00E37971"/>
    <w:rsid w:val="00E527B8"/>
    <w:rsid w:val="00E73ED2"/>
    <w:rsid w:val="00E745BF"/>
    <w:rsid w:val="00E76980"/>
    <w:rsid w:val="00E81025"/>
    <w:rsid w:val="00E82ECF"/>
    <w:rsid w:val="00E83876"/>
    <w:rsid w:val="00E85ECB"/>
    <w:rsid w:val="00E921EC"/>
    <w:rsid w:val="00E924BC"/>
    <w:rsid w:val="00E979BD"/>
    <w:rsid w:val="00EA09BC"/>
    <w:rsid w:val="00EB4530"/>
    <w:rsid w:val="00EB6B83"/>
    <w:rsid w:val="00EC37CA"/>
    <w:rsid w:val="00EC4362"/>
    <w:rsid w:val="00EC6465"/>
    <w:rsid w:val="00ED0F88"/>
    <w:rsid w:val="00ED2EB3"/>
    <w:rsid w:val="00ED75C5"/>
    <w:rsid w:val="00EE4DEA"/>
    <w:rsid w:val="00EE6F4E"/>
    <w:rsid w:val="00F03626"/>
    <w:rsid w:val="00F075D5"/>
    <w:rsid w:val="00F221EA"/>
    <w:rsid w:val="00F23805"/>
    <w:rsid w:val="00F2569E"/>
    <w:rsid w:val="00F31D06"/>
    <w:rsid w:val="00F3379A"/>
    <w:rsid w:val="00F3550B"/>
    <w:rsid w:val="00F45080"/>
    <w:rsid w:val="00F50715"/>
    <w:rsid w:val="00F6181E"/>
    <w:rsid w:val="00F61C75"/>
    <w:rsid w:val="00F728D1"/>
    <w:rsid w:val="00F86555"/>
    <w:rsid w:val="00F8793A"/>
    <w:rsid w:val="00F91B80"/>
    <w:rsid w:val="00F95C1D"/>
    <w:rsid w:val="00FC2143"/>
    <w:rsid w:val="00FC4BC5"/>
    <w:rsid w:val="00FC54FD"/>
    <w:rsid w:val="00FC61B4"/>
    <w:rsid w:val="00FD7480"/>
    <w:rsid w:val="00FE16DB"/>
    <w:rsid w:val="00FE4D94"/>
    <w:rsid w:val="00FF00C6"/>
    <w:rsid w:val="00FF227A"/>
    <w:rsid w:val="00FF2421"/>
    <w:rsid w:val="00FF289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29E7"/>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B29E7"/>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B29E7"/>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B29E7"/>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B29E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B29E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B29E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B29E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B29E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B29E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29E7"/>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B29E7"/>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B29E7"/>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B29E7"/>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B29E7"/>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B29E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B29E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B29E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B29E7"/>
    <w:rPr>
      <w:rFonts w:asciiTheme="majorHAnsi" w:eastAsiaTheme="majorEastAsia" w:hAnsiTheme="majorHAnsi" w:cstheme="majorBidi"/>
      <w:i/>
      <w:iCs/>
      <w:color w:val="404040" w:themeColor="text1" w:themeTint="BF"/>
      <w:sz w:val="20"/>
      <w:szCs w:val="20"/>
    </w:rPr>
  </w:style>
  <w:style w:type="paragraph" w:styleId="Sprechblasentext">
    <w:name w:val="Balloon Text"/>
    <w:basedOn w:val="Standard"/>
    <w:link w:val="SprechblasentextZchn"/>
    <w:uiPriority w:val="99"/>
    <w:semiHidden/>
    <w:unhideWhenUsed/>
    <w:rsid w:val="00DB29E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29E7"/>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1775</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noraa</dc:creator>
  <cp:lastModifiedBy>noraa</cp:lastModifiedBy>
  <cp:revision>1</cp:revision>
  <dcterms:created xsi:type="dcterms:W3CDTF">2014-08-26T21:03:00Z</dcterms:created>
  <dcterms:modified xsi:type="dcterms:W3CDTF">2014-08-26T21:04:00Z</dcterms:modified>
</cp:coreProperties>
</file>