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519" w:rsidRDefault="00CB1519" w:rsidP="00CB1519">
      <w:pPr>
        <w:pStyle w:val="berschrift2"/>
        <w:numPr>
          <w:ilvl w:val="0"/>
          <w:numId w:val="0"/>
        </w:numPr>
        <w:ind w:left="576" w:hanging="576"/>
        <w:rPr>
          <w:noProof/>
          <w:lang w:eastAsia="de-DE"/>
        </w:rPr>
      </w:pPr>
      <w:bookmarkStart w:id="0" w:name="_Toc396403989"/>
      <w:r w:rsidRPr="00D37E43">
        <w:rPr>
          <w:noProof/>
          <w:lang w:eastAsia="de-DE"/>
        </w:rPr>
        <w:t>V 2 – Kontaktverfahren zur Herstellung von Schwefelsäure</w:t>
      </w:r>
      <w:bookmarkEnd w:id="0"/>
    </w:p>
    <w:p w:rsidR="00CB1519" w:rsidRPr="001D0B8F" w:rsidRDefault="00CB1519" w:rsidP="00CB1519">
      <w:pPr>
        <w:pStyle w:val="berschrift2"/>
        <w:numPr>
          <w:ilvl w:val="0"/>
          <w:numId w:val="0"/>
        </w:numPr>
        <w:rPr>
          <w:rFonts w:cs="Cambria"/>
          <w:bCs w:val="0"/>
          <w:color w:val="1D1B11"/>
        </w:rPr>
      </w:pPr>
      <w:r w:rsidRPr="00B716E8">
        <w:rPr>
          <w:noProof/>
          <w:lang w:eastAsia="de-DE"/>
        </w:rPr>
        <w:pict>
          <v:shapetype id="_x0000_t202" coordsize="21600,21600" o:spt="202" path="m,l,21600r21600,l21600,xe">
            <v:stroke joinstyle="miter"/>
            <v:path gradientshapeok="t" o:connecttype="rect"/>
          </v:shapetype>
          <v:shape id="_x0000_s1027" type="#_x0000_t202" style="position:absolute;left:0;text-align:left;margin-left:-.05pt;margin-top:9.15pt;width:462.45pt;height:103.9pt;z-index:251660288;mso-width-relative:margin;mso-height-relative:margin" fillcolor="white [3201]" strokecolor="#4bacc6 [3208]" strokeweight="1pt">
            <v:stroke dashstyle="dash"/>
            <v:shadow color="#868686"/>
            <v:textbox style="mso-next-textbox:#_x0000_s1027">
              <w:txbxContent>
                <w:p w:rsidR="00CB1519" w:rsidRPr="001D0B8F" w:rsidRDefault="00CB1519" w:rsidP="00CB1519">
                  <w:r w:rsidRPr="001D0B8F">
                    <w:rPr>
                      <w:rFonts w:cs="Cambria"/>
                      <w:bCs/>
                      <w:color w:val="1F497D"/>
                    </w:rPr>
                    <w:t>Auch bei diesem Versuch muss unter dem Abzug gearbeitet werden! Der Versuch dient als M</w:t>
                  </w:r>
                  <w:r w:rsidRPr="001D0B8F">
                    <w:rPr>
                      <w:rFonts w:cs="Cambria"/>
                      <w:bCs/>
                      <w:color w:val="1F497D"/>
                    </w:rPr>
                    <w:t>o</w:t>
                  </w:r>
                  <w:r w:rsidRPr="001D0B8F">
                    <w:rPr>
                      <w:rFonts w:cs="Cambria"/>
                      <w:bCs/>
                      <w:color w:val="1F497D"/>
                    </w:rPr>
                    <w:t xml:space="preserve">dellversuch, um das Kontaktverfahren zur Herstellung von Schwefelsäure zu demonstrieren.  Wie in V1 sind dafür mehrere Glasgeräte nötig und die </w:t>
                  </w:r>
                  <w:proofErr w:type="spellStart"/>
                  <w:r w:rsidRPr="001D0B8F">
                    <w:rPr>
                      <w:rFonts w:cs="Cambria"/>
                      <w:bCs/>
                      <w:color w:val="1F497D"/>
                    </w:rPr>
                    <w:t>SuS</w:t>
                  </w:r>
                  <w:proofErr w:type="spellEnd"/>
                  <w:r w:rsidRPr="001D0B8F">
                    <w:rPr>
                      <w:rFonts w:cs="Cambria"/>
                      <w:bCs/>
                      <w:color w:val="1F497D"/>
                    </w:rPr>
                    <w:t xml:space="preserve"> sollten </w:t>
                  </w:r>
                  <w:proofErr w:type="spellStart"/>
                  <w:r w:rsidRPr="001D0B8F">
                    <w:rPr>
                      <w:rFonts w:cs="Cambria"/>
                      <w:bCs/>
                      <w:color w:val="1F497D"/>
                    </w:rPr>
                    <w:t>Redoxvorgänge</w:t>
                  </w:r>
                  <w:proofErr w:type="spellEnd"/>
                  <w:r w:rsidRPr="001D0B8F">
                    <w:rPr>
                      <w:rFonts w:cs="Cambria"/>
                      <w:bCs/>
                      <w:color w:val="1F497D"/>
                    </w:rPr>
                    <w:t xml:space="preserve"> kennen, um die </w:t>
                  </w:r>
                  <w:proofErr w:type="spellStart"/>
                  <w:r w:rsidRPr="001D0B8F">
                    <w:rPr>
                      <w:rFonts w:cs="Cambria"/>
                      <w:bCs/>
                      <w:color w:val="1F497D"/>
                    </w:rPr>
                    <w:t>Reaktonen</w:t>
                  </w:r>
                  <w:proofErr w:type="spellEnd"/>
                  <w:r w:rsidRPr="001D0B8F">
                    <w:rPr>
                      <w:rFonts w:cs="Cambria"/>
                      <w:bCs/>
                      <w:color w:val="1F497D"/>
                    </w:rPr>
                    <w:t xml:space="preserve"> zu verstehen. Auch sollten schon Indikatoren im Unterricht behandelt worden sein.</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CB1519" w:rsidRPr="009C5E28" w:rsidTr="00C64E58">
        <w:tc>
          <w:tcPr>
            <w:tcW w:w="9322" w:type="dxa"/>
            <w:gridSpan w:val="9"/>
            <w:shd w:val="clear" w:color="auto" w:fill="4F81BD"/>
            <w:vAlign w:val="center"/>
          </w:tcPr>
          <w:p w:rsidR="00CB1519" w:rsidRPr="009C5E28" w:rsidRDefault="00CB1519" w:rsidP="00C64E58">
            <w:pPr>
              <w:spacing w:after="0"/>
              <w:jc w:val="center"/>
              <w:rPr>
                <w:b/>
                <w:bCs/>
              </w:rPr>
            </w:pPr>
            <w:r w:rsidRPr="009C5E28">
              <w:rPr>
                <w:b/>
                <w:bCs/>
              </w:rPr>
              <w:t>Gefahrenstoffe</w:t>
            </w:r>
          </w:p>
        </w:tc>
      </w:tr>
      <w:tr w:rsidR="00CB1519" w:rsidRPr="009C5E28" w:rsidTr="00C64E5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B1519" w:rsidRDefault="00CB1519" w:rsidP="00C64E58">
            <w:pPr>
              <w:autoSpaceDE w:val="0"/>
              <w:autoSpaceDN w:val="0"/>
              <w:adjustRightInd w:val="0"/>
              <w:spacing w:after="0" w:line="276" w:lineRule="auto"/>
              <w:jc w:val="center"/>
              <w:rPr>
                <w:rFonts w:ascii="Calibri" w:hAnsi="Calibri" w:cs="Calibri"/>
                <w:color w:val="auto"/>
              </w:rPr>
            </w:pPr>
            <w:r>
              <w:rPr>
                <w:rFonts w:cs="Cambria"/>
                <w:color w:val="auto"/>
                <w:sz w:val="20"/>
                <w:szCs w:val="20"/>
              </w:rPr>
              <w:t>Eisen(II)-</w:t>
            </w:r>
            <w:proofErr w:type="spellStart"/>
            <w:r>
              <w:rPr>
                <w:rFonts w:cs="Cambria"/>
                <w:color w:val="auto"/>
                <w:sz w:val="20"/>
                <w:szCs w:val="20"/>
              </w:rPr>
              <w:t>disulfid</w:t>
            </w:r>
            <w:proofErr w:type="spellEnd"/>
            <w:r>
              <w:rPr>
                <w:rFonts w:cs="Cambria"/>
                <w:color w:val="auto"/>
                <w:sz w:val="20"/>
                <w:szCs w:val="20"/>
              </w:rPr>
              <w:t xml:space="preserve"> </w:t>
            </w:r>
          </w:p>
        </w:tc>
        <w:tc>
          <w:tcPr>
            <w:tcW w:w="3177" w:type="dxa"/>
            <w:gridSpan w:val="3"/>
            <w:tcBorders>
              <w:top w:val="single" w:sz="8" w:space="0" w:color="4F81BD"/>
              <w:bottom w:val="single" w:sz="8" w:space="0" w:color="4F81BD"/>
            </w:tcBorders>
            <w:shd w:val="clear" w:color="auto" w:fill="auto"/>
            <w:vAlign w:val="center"/>
          </w:tcPr>
          <w:p w:rsidR="00CB1519" w:rsidRDefault="00CB1519" w:rsidP="00C64E58">
            <w:pPr>
              <w:autoSpaceDE w:val="0"/>
              <w:autoSpaceDN w:val="0"/>
              <w:adjustRightInd w:val="0"/>
              <w:spacing w:after="0"/>
              <w:jc w:val="center"/>
              <w:rPr>
                <w:rFonts w:ascii="Calibri" w:hAnsi="Calibri" w:cs="Calibri"/>
                <w:color w:val="auto"/>
              </w:rPr>
            </w:pPr>
            <w:r>
              <w:rPr>
                <w:rFonts w:cs="Cambria"/>
                <w:color w:val="1D1B11"/>
                <w:sz w:val="20"/>
                <w:szCs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B1519" w:rsidRDefault="00CB1519" w:rsidP="00C64E58">
            <w:pPr>
              <w:autoSpaceDE w:val="0"/>
              <w:autoSpaceDN w:val="0"/>
              <w:adjustRightInd w:val="0"/>
              <w:spacing w:after="0"/>
              <w:jc w:val="center"/>
              <w:rPr>
                <w:rFonts w:ascii="Calibri" w:hAnsi="Calibri" w:cs="Calibri"/>
                <w:color w:val="auto"/>
              </w:rPr>
            </w:pPr>
            <w:r>
              <w:rPr>
                <w:rFonts w:cs="Cambria"/>
                <w:color w:val="1D1B11"/>
                <w:sz w:val="20"/>
                <w:szCs w:val="20"/>
              </w:rPr>
              <w:t>-</w:t>
            </w:r>
          </w:p>
        </w:tc>
      </w:tr>
      <w:tr w:rsidR="00CB1519" w:rsidRPr="009C5E28" w:rsidTr="00C64E5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B1519" w:rsidRDefault="00CB1519" w:rsidP="00C64E58">
            <w:pPr>
              <w:autoSpaceDE w:val="0"/>
              <w:autoSpaceDN w:val="0"/>
              <w:adjustRightInd w:val="0"/>
              <w:spacing w:after="0" w:line="276" w:lineRule="auto"/>
              <w:jc w:val="center"/>
              <w:rPr>
                <w:rFonts w:ascii="Calibri" w:hAnsi="Calibri" w:cs="Calibri"/>
                <w:color w:val="auto"/>
              </w:rPr>
            </w:pPr>
            <w:r>
              <w:rPr>
                <w:rFonts w:cs="Cambria"/>
                <w:color w:val="1D1B11"/>
                <w:sz w:val="20"/>
                <w:szCs w:val="20"/>
              </w:rPr>
              <w:t>Platin auf Aluminiumoxid</w:t>
            </w:r>
          </w:p>
        </w:tc>
        <w:tc>
          <w:tcPr>
            <w:tcW w:w="3177" w:type="dxa"/>
            <w:gridSpan w:val="3"/>
            <w:tcBorders>
              <w:top w:val="single" w:sz="8" w:space="0" w:color="4F81BD"/>
              <w:bottom w:val="single" w:sz="8" w:space="0" w:color="4F81BD"/>
            </w:tcBorders>
            <w:shd w:val="clear" w:color="auto" w:fill="auto"/>
            <w:vAlign w:val="center"/>
          </w:tcPr>
          <w:p w:rsidR="00CB1519" w:rsidRDefault="00CB1519" w:rsidP="00C64E58">
            <w:pPr>
              <w:autoSpaceDE w:val="0"/>
              <w:autoSpaceDN w:val="0"/>
              <w:adjustRightInd w:val="0"/>
              <w:spacing w:after="0"/>
              <w:jc w:val="center"/>
              <w:rPr>
                <w:rFonts w:ascii="Calibri" w:hAnsi="Calibri" w:cs="Calibri"/>
                <w:color w:val="auto"/>
              </w:rPr>
            </w:pPr>
            <w:r>
              <w:rPr>
                <w:rFonts w:cs="Cambria"/>
                <w:color w:val="1D1B11"/>
                <w:sz w:val="20"/>
                <w:szCs w:val="20"/>
              </w:rPr>
              <w:t>H: 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B1519" w:rsidRDefault="00CB1519" w:rsidP="00C64E58">
            <w:pPr>
              <w:autoSpaceDE w:val="0"/>
              <w:autoSpaceDN w:val="0"/>
              <w:adjustRightInd w:val="0"/>
              <w:spacing w:after="0"/>
              <w:jc w:val="center"/>
              <w:rPr>
                <w:rFonts w:ascii="Calibri" w:hAnsi="Calibri" w:cs="Calibri"/>
                <w:color w:val="auto"/>
              </w:rPr>
            </w:pPr>
            <w:r>
              <w:rPr>
                <w:rFonts w:cs="Cambria"/>
                <w:color w:val="1D1B11"/>
                <w:sz w:val="20"/>
                <w:szCs w:val="20"/>
              </w:rPr>
              <w:t>P: 210</w:t>
            </w:r>
          </w:p>
        </w:tc>
      </w:tr>
      <w:tr w:rsidR="00CB1519" w:rsidRPr="009C5E28" w:rsidTr="00C64E58">
        <w:trPr>
          <w:trHeight w:val="434"/>
        </w:trPr>
        <w:tc>
          <w:tcPr>
            <w:tcW w:w="3027" w:type="dxa"/>
            <w:gridSpan w:val="3"/>
            <w:shd w:val="clear" w:color="auto" w:fill="auto"/>
            <w:vAlign w:val="center"/>
          </w:tcPr>
          <w:p w:rsidR="00CB1519" w:rsidRDefault="00CB1519" w:rsidP="00C64E58">
            <w:pPr>
              <w:autoSpaceDE w:val="0"/>
              <w:autoSpaceDN w:val="0"/>
              <w:adjustRightInd w:val="0"/>
              <w:spacing w:after="0" w:line="276" w:lineRule="auto"/>
              <w:jc w:val="center"/>
              <w:rPr>
                <w:rFonts w:ascii="Calibri" w:hAnsi="Calibri" w:cs="Calibri"/>
                <w:color w:val="auto"/>
              </w:rPr>
            </w:pPr>
            <w:r>
              <w:rPr>
                <w:rFonts w:cs="Cambria"/>
                <w:color w:val="auto"/>
                <w:sz w:val="20"/>
                <w:szCs w:val="20"/>
              </w:rPr>
              <w:t>Lackmus-Lösung</w:t>
            </w:r>
          </w:p>
        </w:tc>
        <w:tc>
          <w:tcPr>
            <w:tcW w:w="3177" w:type="dxa"/>
            <w:gridSpan w:val="3"/>
            <w:shd w:val="clear" w:color="auto" w:fill="auto"/>
            <w:vAlign w:val="center"/>
          </w:tcPr>
          <w:p w:rsidR="00CB1519" w:rsidRDefault="00CB1519" w:rsidP="00C64E58">
            <w:pPr>
              <w:autoSpaceDE w:val="0"/>
              <w:autoSpaceDN w:val="0"/>
              <w:adjustRightInd w:val="0"/>
              <w:spacing w:after="0" w:line="240" w:lineRule="auto"/>
              <w:jc w:val="center"/>
              <w:rPr>
                <w:rFonts w:ascii="Calibri" w:hAnsi="Calibri" w:cs="Calibri"/>
                <w:color w:val="auto"/>
              </w:rPr>
            </w:pPr>
            <w:r>
              <w:rPr>
                <w:rFonts w:cs="Cambria"/>
                <w:color w:val="auto"/>
                <w:sz w:val="20"/>
                <w:szCs w:val="20"/>
              </w:rPr>
              <w:t xml:space="preserve">H: 351   </w:t>
            </w:r>
          </w:p>
        </w:tc>
        <w:tc>
          <w:tcPr>
            <w:tcW w:w="3118" w:type="dxa"/>
            <w:gridSpan w:val="3"/>
            <w:shd w:val="clear" w:color="auto" w:fill="auto"/>
            <w:vAlign w:val="center"/>
          </w:tcPr>
          <w:p w:rsidR="00CB1519" w:rsidRDefault="00CB1519" w:rsidP="00C64E58">
            <w:pPr>
              <w:autoSpaceDE w:val="0"/>
              <w:autoSpaceDN w:val="0"/>
              <w:adjustRightInd w:val="0"/>
              <w:spacing w:after="0" w:line="240" w:lineRule="auto"/>
              <w:jc w:val="center"/>
              <w:rPr>
                <w:rFonts w:ascii="Calibri" w:hAnsi="Calibri" w:cs="Calibri"/>
                <w:color w:val="auto"/>
              </w:rPr>
            </w:pPr>
            <w:r>
              <w:rPr>
                <w:rFonts w:cs="Cambria"/>
                <w:color w:val="auto"/>
                <w:sz w:val="20"/>
                <w:szCs w:val="20"/>
              </w:rPr>
              <w:t xml:space="preserve">P: 281   </w:t>
            </w:r>
          </w:p>
        </w:tc>
      </w:tr>
      <w:tr w:rsidR="00CB1519" w:rsidRPr="009C5E28" w:rsidTr="00C64E58">
        <w:tc>
          <w:tcPr>
            <w:tcW w:w="1009" w:type="dxa"/>
            <w:tcBorders>
              <w:top w:val="single" w:sz="8" w:space="0" w:color="4F81BD"/>
              <w:left w:val="single" w:sz="8" w:space="0" w:color="4F81BD"/>
              <w:bottom w:val="single" w:sz="8" w:space="0" w:color="4F81BD"/>
            </w:tcBorders>
            <w:shd w:val="clear" w:color="auto" w:fill="auto"/>
            <w:vAlign w:val="center"/>
          </w:tcPr>
          <w:p w:rsidR="00CB1519" w:rsidRPr="009C5E28" w:rsidRDefault="00CB1519" w:rsidP="00C64E58">
            <w:pPr>
              <w:spacing w:after="0"/>
              <w:jc w:val="center"/>
              <w:rPr>
                <w:b/>
                <w:bCs/>
              </w:rPr>
            </w:pPr>
            <w:r w:rsidRPr="00046071">
              <w:rPr>
                <w:b/>
                <w:noProof/>
                <w:lang w:eastAsia="de-DE"/>
              </w:rPr>
              <w:drawing>
                <wp:inline distT="0" distB="0" distL="0" distR="0">
                  <wp:extent cx="509270" cy="509270"/>
                  <wp:effectExtent l="19050" t="0" r="5080" b="0"/>
                  <wp:docPr id="610" name="Bild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 cstate="print"/>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B1519" w:rsidRPr="009C5E28" w:rsidRDefault="00CB1519" w:rsidP="00C64E58">
            <w:pPr>
              <w:spacing w:after="0"/>
              <w:jc w:val="center"/>
            </w:pPr>
            <w:r>
              <w:rPr>
                <w:noProof/>
                <w:lang w:eastAsia="de-DE"/>
              </w:rPr>
              <w:drawing>
                <wp:inline distT="0" distB="0" distL="0" distR="0">
                  <wp:extent cx="504190" cy="504190"/>
                  <wp:effectExtent l="0" t="0" r="0" b="0"/>
                  <wp:docPr id="17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B1519" w:rsidRPr="009C5E28" w:rsidRDefault="00CB1519" w:rsidP="00C64E58">
            <w:pPr>
              <w:spacing w:after="0"/>
              <w:jc w:val="center"/>
            </w:pPr>
            <w:r>
              <w:rPr>
                <w:noProof/>
                <w:lang w:eastAsia="de-DE"/>
              </w:rPr>
              <w:drawing>
                <wp:inline distT="0" distB="0" distL="0" distR="0">
                  <wp:extent cx="504190" cy="504190"/>
                  <wp:effectExtent l="0" t="0" r="0" b="0"/>
                  <wp:docPr id="17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B1519" w:rsidRPr="009C5E28" w:rsidRDefault="00CB1519" w:rsidP="00C64E58">
            <w:pPr>
              <w:spacing w:after="0"/>
              <w:jc w:val="center"/>
            </w:pPr>
            <w:r>
              <w:rPr>
                <w:noProof/>
                <w:lang w:eastAsia="de-DE"/>
              </w:rPr>
              <w:drawing>
                <wp:inline distT="0" distB="0" distL="0" distR="0">
                  <wp:extent cx="504190" cy="504190"/>
                  <wp:effectExtent l="0" t="0" r="0" b="0"/>
                  <wp:docPr id="17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B1519" w:rsidRPr="009C5E28" w:rsidRDefault="00CB1519" w:rsidP="00C64E58">
            <w:pPr>
              <w:spacing w:after="0"/>
              <w:jc w:val="center"/>
            </w:pPr>
            <w:r>
              <w:rPr>
                <w:noProof/>
                <w:lang w:eastAsia="de-DE"/>
              </w:rPr>
              <w:drawing>
                <wp:inline distT="0" distB="0" distL="0" distR="0">
                  <wp:extent cx="504190" cy="504190"/>
                  <wp:effectExtent l="0" t="0" r="0" b="0"/>
                  <wp:docPr id="17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B1519" w:rsidRPr="009C5E28" w:rsidRDefault="00CB1519" w:rsidP="00C64E58">
            <w:pPr>
              <w:spacing w:after="0"/>
              <w:jc w:val="center"/>
            </w:pPr>
            <w:r w:rsidRPr="00046071">
              <w:rPr>
                <w:noProof/>
                <w:lang w:eastAsia="de-DE"/>
              </w:rPr>
              <w:drawing>
                <wp:inline distT="0" distB="0" distL="0" distR="0">
                  <wp:extent cx="517525" cy="517525"/>
                  <wp:effectExtent l="19050" t="0" r="0" b="0"/>
                  <wp:docPr id="609" name="Bild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0" cstate="print"/>
                          <a:srcRect/>
                          <a:stretch>
                            <a:fillRect/>
                          </a:stretch>
                        </pic:blipFill>
                        <pic:spPr bwMode="auto">
                          <a:xfrm>
                            <a:off x="0" y="0"/>
                            <a:ext cx="517525" cy="517525"/>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B1519" w:rsidRPr="009C5E28" w:rsidRDefault="00CB1519" w:rsidP="00C64E58">
            <w:pPr>
              <w:spacing w:after="0"/>
              <w:jc w:val="center"/>
            </w:pPr>
            <w:r>
              <w:rPr>
                <w:noProof/>
                <w:lang w:eastAsia="de-DE"/>
              </w:rPr>
              <w:drawing>
                <wp:inline distT="0" distB="0" distL="0" distR="0">
                  <wp:extent cx="504190" cy="504190"/>
                  <wp:effectExtent l="0" t="0" r="0" b="0"/>
                  <wp:docPr id="18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B1519" w:rsidRPr="009C5E28" w:rsidRDefault="00CB1519" w:rsidP="00C64E58">
            <w:pPr>
              <w:spacing w:after="0"/>
              <w:jc w:val="center"/>
            </w:pPr>
            <w:r>
              <w:rPr>
                <w:rFonts w:ascii="Calibri" w:hAnsi="Calibri" w:cs="Calibri"/>
                <w:noProof/>
                <w:color w:val="auto"/>
                <w:lang w:eastAsia="de-DE"/>
              </w:rPr>
              <w:drawing>
                <wp:inline distT="0" distB="0" distL="0" distR="0">
                  <wp:extent cx="500380" cy="500380"/>
                  <wp:effectExtent l="19050" t="0" r="0" b="0"/>
                  <wp:docPr id="181" name="Bild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2"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B1519" w:rsidRPr="009C5E28" w:rsidRDefault="00CB1519" w:rsidP="00C64E58">
            <w:pPr>
              <w:spacing w:after="0"/>
              <w:jc w:val="center"/>
            </w:pPr>
            <w:r>
              <w:rPr>
                <w:noProof/>
                <w:lang w:eastAsia="de-DE"/>
              </w:rPr>
              <w:drawing>
                <wp:inline distT="0" distB="0" distL="0" distR="0">
                  <wp:extent cx="504190" cy="504190"/>
                  <wp:effectExtent l="0" t="0" r="0" b="0"/>
                  <wp:docPr id="18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CB1519" w:rsidRPr="001D0B8F" w:rsidRDefault="00CB1519" w:rsidP="00CB1519">
      <w:pPr>
        <w:tabs>
          <w:tab w:val="left" w:pos="1701"/>
          <w:tab w:val="left" w:pos="1985"/>
        </w:tabs>
        <w:ind w:left="1980" w:hanging="1980"/>
        <w:rPr>
          <w:rFonts w:eastAsiaTheme="minorEastAsia"/>
        </w:rPr>
      </w:pPr>
    </w:p>
    <w:p w:rsidR="00CB1519" w:rsidRDefault="00CB1519" w:rsidP="00CB1519">
      <w:pPr>
        <w:tabs>
          <w:tab w:val="left" w:pos="1701"/>
          <w:tab w:val="left" w:pos="1985"/>
        </w:tabs>
        <w:autoSpaceDE w:val="0"/>
        <w:autoSpaceDN w:val="0"/>
        <w:adjustRightInd w:val="0"/>
        <w:ind w:left="1980" w:hanging="1980"/>
        <w:rPr>
          <w:rFonts w:cs="Cambria"/>
          <w:color w:val="1D1B11"/>
        </w:rPr>
      </w:pPr>
      <w:r>
        <w:rPr>
          <w:rFonts w:cs="Cambria"/>
          <w:color w:val="1D1B11"/>
        </w:rPr>
        <w:t xml:space="preserve">Materialien: </w:t>
      </w:r>
      <w:r>
        <w:rPr>
          <w:rFonts w:cs="Cambria"/>
          <w:color w:val="1D1B11"/>
        </w:rPr>
        <w:tab/>
      </w:r>
      <w:r>
        <w:rPr>
          <w:rFonts w:cs="Cambria"/>
          <w:color w:val="1D1B11"/>
        </w:rPr>
        <w:tab/>
        <w:t xml:space="preserve">Verbrennungsrohr und zwei Stopfen mit </w:t>
      </w:r>
      <w:proofErr w:type="spellStart"/>
      <w:r>
        <w:rPr>
          <w:rFonts w:cs="Cambria"/>
          <w:color w:val="1D1B11"/>
        </w:rPr>
        <w:t>Glasrohr</w:t>
      </w:r>
      <w:proofErr w:type="spellEnd"/>
      <w:r>
        <w:rPr>
          <w:rFonts w:cs="Cambria"/>
          <w:color w:val="1D1B11"/>
        </w:rPr>
        <w:t>, Glaswolle, Magnesiari</w:t>
      </w:r>
      <w:r>
        <w:rPr>
          <w:rFonts w:cs="Cambria"/>
          <w:color w:val="1D1B11"/>
        </w:rPr>
        <w:t>n</w:t>
      </w:r>
      <w:r>
        <w:rPr>
          <w:rFonts w:cs="Cambria"/>
          <w:color w:val="1D1B11"/>
        </w:rPr>
        <w:t xml:space="preserve">ne, 2 Waschflaschen mit Schläuchen, 2 Gasbrenner, Stativ mit Klemme und Muffe, pH-Papier  </w:t>
      </w:r>
    </w:p>
    <w:p w:rsidR="00CB1519" w:rsidRDefault="00CB1519" w:rsidP="00CB1519">
      <w:pPr>
        <w:tabs>
          <w:tab w:val="left" w:pos="1701"/>
          <w:tab w:val="left" w:pos="1985"/>
        </w:tabs>
        <w:autoSpaceDE w:val="0"/>
        <w:autoSpaceDN w:val="0"/>
        <w:adjustRightInd w:val="0"/>
        <w:ind w:left="1980" w:hanging="1980"/>
        <w:rPr>
          <w:rFonts w:cs="Cambria"/>
          <w:color w:val="1D1B11"/>
        </w:rPr>
      </w:pPr>
      <w:r>
        <w:rPr>
          <w:rFonts w:cs="Cambria"/>
          <w:color w:val="1D1B11"/>
        </w:rPr>
        <w:t>Chemikalien:</w:t>
      </w:r>
      <w:r>
        <w:rPr>
          <w:rFonts w:cs="Cambria"/>
          <w:color w:val="1D1B11"/>
        </w:rPr>
        <w:tab/>
      </w:r>
      <w:r>
        <w:rPr>
          <w:rFonts w:cs="Cambria"/>
          <w:color w:val="1D1B11"/>
        </w:rPr>
        <w:tab/>
        <w:t>Pyrit (Eisen(II)-</w:t>
      </w:r>
      <w:proofErr w:type="spellStart"/>
      <w:r>
        <w:rPr>
          <w:rFonts w:cs="Cambria"/>
          <w:color w:val="1D1B11"/>
        </w:rPr>
        <w:t>disultid</w:t>
      </w:r>
      <w:proofErr w:type="spellEnd"/>
      <w:r>
        <w:rPr>
          <w:rFonts w:cs="Cambria"/>
          <w:color w:val="1D1B11"/>
        </w:rPr>
        <w:t>), Platin auf Aluminiumoxid als Katalysator, Lac</w:t>
      </w:r>
      <w:r>
        <w:rPr>
          <w:rFonts w:cs="Cambria"/>
          <w:color w:val="1D1B11"/>
        </w:rPr>
        <w:t>k</w:t>
      </w:r>
      <w:r>
        <w:rPr>
          <w:rFonts w:cs="Cambria"/>
          <w:color w:val="1D1B11"/>
        </w:rPr>
        <w:t>mus-Lösung</w:t>
      </w:r>
    </w:p>
    <w:p w:rsidR="00CB1519" w:rsidRDefault="00CB1519" w:rsidP="00CB1519">
      <w:pPr>
        <w:tabs>
          <w:tab w:val="left" w:pos="1701"/>
          <w:tab w:val="left" w:pos="1985"/>
        </w:tabs>
        <w:autoSpaceDE w:val="0"/>
        <w:autoSpaceDN w:val="0"/>
        <w:adjustRightInd w:val="0"/>
        <w:ind w:left="1980" w:hanging="1980"/>
        <w:rPr>
          <w:rFonts w:cs="Cambria"/>
          <w:color w:val="1D1B11"/>
        </w:rPr>
      </w:pPr>
      <w:r>
        <w:rPr>
          <w:rFonts w:cs="Cambria"/>
          <w:color w:val="1D1B11"/>
        </w:rPr>
        <w:t xml:space="preserve">Durchführung: </w:t>
      </w:r>
      <w:r>
        <w:rPr>
          <w:rFonts w:cs="Cambria"/>
          <w:color w:val="1D1B11"/>
        </w:rPr>
        <w:tab/>
      </w:r>
      <w:r>
        <w:rPr>
          <w:rFonts w:cs="Cambria"/>
          <w:color w:val="1D1B11"/>
        </w:rPr>
        <w:tab/>
        <w:t>In das Verbrennungsrohr wird zwischen Glaswolle der Katalysator getan, dahinter das Verbrennungsrohr mit Pyrit. Das Verbrennungsrohr wird in der Klemme und Muffe am Stativ eingespannt. Mit einem Schlauch wird das Verbrennungsrohr (an der Seite mit dem Katalysator) an eine Waschfl</w:t>
      </w:r>
      <w:r>
        <w:rPr>
          <w:rFonts w:cs="Cambria"/>
          <w:color w:val="1D1B11"/>
        </w:rPr>
        <w:t>a</w:t>
      </w:r>
      <w:r>
        <w:rPr>
          <w:rFonts w:cs="Cambria"/>
          <w:color w:val="1D1B11"/>
        </w:rPr>
        <w:t>sche angeschlossen. Diese Waschflasche wird mit einer weiteren Waschfl</w:t>
      </w:r>
      <w:r>
        <w:rPr>
          <w:rFonts w:cs="Cambria"/>
          <w:color w:val="1D1B11"/>
        </w:rPr>
        <w:t>a</w:t>
      </w:r>
      <w:r>
        <w:rPr>
          <w:rFonts w:cs="Cambria"/>
          <w:color w:val="1D1B11"/>
        </w:rPr>
        <w:t>sche verbunden, welche mit Wasser und einigen Tropfen Lackmus gefüllt ist. Nachdem der Aufbau noch einmal überprüft wurde, wird zunächst nur der Katalysator erhitzt, dann das Pyrit, bis es glüht. Dann werden beide Brenner ausgeschaltet. Danach wird der pH-Wert bestimmt.</w:t>
      </w:r>
    </w:p>
    <w:p w:rsidR="00CB1519" w:rsidRDefault="00CB1519" w:rsidP="00CB1519">
      <w:pPr>
        <w:tabs>
          <w:tab w:val="left" w:pos="1701"/>
          <w:tab w:val="left" w:pos="1985"/>
        </w:tabs>
        <w:autoSpaceDE w:val="0"/>
        <w:autoSpaceDN w:val="0"/>
        <w:adjustRightInd w:val="0"/>
        <w:ind w:left="1980" w:hanging="1980"/>
        <w:rPr>
          <w:rFonts w:cs="Cambria"/>
          <w:color w:val="1D1B11"/>
        </w:rPr>
      </w:pPr>
      <w:r>
        <w:rPr>
          <w:rFonts w:cs="Cambria"/>
          <w:color w:val="1D1B11"/>
        </w:rPr>
        <w:t>Beobachtung:</w:t>
      </w:r>
      <w:r>
        <w:rPr>
          <w:rFonts w:cs="Cambria"/>
          <w:color w:val="1D1B11"/>
        </w:rPr>
        <w:tab/>
      </w:r>
      <w:r>
        <w:rPr>
          <w:rFonts w:cs="Cambria"/>
          <w:color w:val="1D1B11"/>
        </w:rPr>
        <w:tab/>
        <w:t>Der Indikator färbt sich rosa. Der pH-Wert ändert sich von pH 7 zu pH 6.</w:t>
      </w:r>
    </w:p>
    <w:p w:rsidR="00CB1519" w:rsidRDefault="00CB1519" w:rsidP="00CB1519">
      <w:pPr>
        <w:autoSpaceDE w:val="0"/>
        <w:autoSpaceDN w:val="0"/>
        <w:adjustRightInd w:val="0"/>
        <w:spacing w:line="240" w:lineRule="auto"/>
        <w:jc w:val="left"/>
        <w:rPr>
          <w:rFonts w:cs="Cambria"/>
          <w:color w:val="auto"/>
          <w:sz w:val="18"/>
          <w:szCs w:val="18"/>
        </w:rPr>
      </w:pPr>
    </w:p>
    <w:p w:rsidR="00CB1519" w:rsidRDefault="00CB1519" w:rsidP="00CB1519">
      <w:pPr>
        <w:autoSpaceDE w:val="0"/>
        <w:autoSpaceDN w:val="0"/>
        <w:adjustRightInd w:val="0"/>
        <w:spacing w:line="240" w:lineRule="auto"/>
        <w:jc w:val="left"/>
        <w:rPr>
          <w:rFonts w:cs="Cambria"/>
          <w:color w:val="auto"/>
          <w:sz w:val="18"/>
          <w:szCs w:val="18"/>
        </w:rPr>
      </w:pPr>
    </w:p>
    <w:p w:rsidR="00CB1519" w:rsidRDefault="00CB1519" w:rsidP="00CB1519">
      <w:pPr>
        <w:autoSpaceDE w:val="0"/>
        <w:autoSpaceDN w:val="0"/>
        <w:adjustRightInd w:val="0"/>
        <w:spacing w:line="240" w:lineRule="auto"/>
        <w:jc w:val="left"/>
        <w:rPr>
          <w:rFonts w:cs="Cambria"/>
          <w:color w:val="auto"/>
          <w:sz w:val="18"/>
          <w:szCs w:val="18"/>
        </w:rPr>
      </w:pPr>
    </w:p>
    <w:p w:rsidR="00CB1519" w:rsidRDefault="00CB1519" w:rsidP="00CB1519">
      <w:pPr>
        <w:autoSpaceDE w:val="0"/>
        <w:autoSpaceDN w:val="0"/>
        <w:adjustRightInd w:val="0"/>
        <w:spacing w:line="240" w:lineRule="auto"/>
        <w:jc w:val="left"/>
        <w:rPr>
          <w:rFonts w:cs="Cambria"/>
          <w:color w:val="auto"/>
          <w:sz w:val="18"/>
          <w:szCs w:val="18"/>
        </w:rPr>
      </w:pPr>
      <w:r>
        <w:rPr>
          <w:rFonts w:cs="Cambria"/>
          <w:noProof/>
          <w:color w:val="auto"/>
          <w:sz w:val="18"/>
          <w:szCs w:val="18"/>
          <w:lang w:eastAsia="de-DE"/>
        </w:rPr>
        <w:drawing>
          <wp:anchor distT="0" distB="0" distL="114300" distR="114300" simplePos="0" relativeHeight="251661312" behindDoc="0" locked="0" layoutInCell="1" allowOverlap="1">
            <wp:simplePos x="0" y="0"/>
            <wp:positionH relativeFrom="column">
              <wp:posOffset>191310</wp:posOffset>
            </wp:positionH>
            <wp:positionV relativeFrom="paragraph">
              <wp:posOffset>-32691</wp:posOffset>
            </wp:positionV>
            <wp:extent cx="5196161" cy="2317531"/>
            <wp:effectExtent l="19050" t="0" r="4489" b="0"/>
            <wp:wrapNone/>
            <wp:docPr id="10" name="Bild 10" descr="C:\Users\noraa\Documents\SVP Chemie\Schwefel\kontaktverfah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raa\Documents\SVP Chemie\Schwefel\kontaktverfahren.png"/>
                    <pic:cNvPicPr>
                      <a:picLocks noChangeAspect="1" noChangeArrowheads="1"/>
                    </pic:cNvPicPr>
                  </pic:nvPicPr>
                  <pic:blipFill>
                    <a:blip r:embed="rId14" cstate="print"/>
                    <a:srcRect/>
                    <a:stretch>
                      <a:fillRect/>
                    </a:stretch>
                  </pic:blipFill>
                  <pic:spPr bwMode="auto">
                    <a:xfrm>
                      <a:off x="0" y="0"/>
                      <a:ext cx="5196161" cy="2317531"/>
                    </a:xfrm>
                    <a:prstGeom prst="rect">
                      <a:avLst/>
                    </a:prstGeom>
                    <a:noFill/>
                    <a:ln w="9525">
                      <a:noFill/>
                      <a:miter lim="800000"/>
                      <a:headEnd/>
                      <a:tailEnd/>
                    </a:ln>
                  </pic:spPr>
                </pic:pic>
              </a:graphicData>
            </a:graphic>
          </wp:anchor>
        </w:drawing>
      </w:r>
    </w:p>
    <w:p w:rsidR="00CB1519" w:rsidRDefault="00CB1519" w:rsidP="00CB1519">
      <w:pPr>
        <w:autoSpaceDE w:val="0"/>
        <w:autoSpaceDN w:val="0"/>
        <w:adjustRightInd w:val="0"/>
        <w:spacing w:line="240" w:lineRule="auto"/>
        <w:jc w:val="left"/>
        <w:rPr>
          <w:rFonts w:cs="Cambria"/>
          <w:color w:val="auto"/>
          <w:sz w:val="18"/>
          <w:szCs w:val="18"/>
        </w:rPr>
      </w:pPr>
    </w:p>
    <w:p w:rsidR="00CB1519" w:rsidRDefault="00CB1519" w:rsidP="00CB1519">
      <w:pPr>
        <w:autoSpaceDE w:val="0"/>
        <w:autoSpaceDN w:val="0"/>
        <w:adjustRightInd w:val="0"/>
        <w:spacing w:line="240" w:lineRule="auto"/>
        <w:jc w:val="left"/>
        <w:rPr>
          <w:rFonts w:cs="Cambria"/>
          <w:color w:val="auto"/>
          <w:sz w:val="18"/>
          <w:szCs w:val="18"/>
        </w:rPr>
      </w:pPr>
    </w:p>
    <w:p w:rsidR="00CB1519" w:rsidRDefault="00CB1519" w:rsidP="00CB1519">
      <w:pPr>
        <w:autoSpaceDE w:val="0"/>
        <w:autoSpaceDN w:val="0"/>
        <w:adjustRightInd w:val="0"/>
        <w:spacing w:line="240" w:lineRule="auto"/>
        <w:jc w:val="left"/>
        <w:rPr>
          <w:rFonts w:cs="Cambria"/>
          <w:color w:val="auto"/>
          <w:sz w:val="18"/>
          <w:szCs w:val="18"/>
        </w:rPr>
      </w:pPr>
    </w:p>
    <w:p w:rsidR="00CB1519" w:rsidRDefault="00CB1519" w:rsidP="00CB1519">
      <w:pPr>
        <w:autoSpaceDE w:val="0"/>
        <w:autoSpaceDN w:val="0"/>
        <w:adjustRightInd w:val="0"/>
        <w:spacing w:line="240" w:lineRule="auto"/>
        <w:jc w:val="left"/>
        <w:rPr>
          <w:rFonts w:cs="Cambria"/>
          <w:color w:val="auto"/>
          <w:sz w:val="18"/>
          <w:szCs w:val="18"/>
        </w:rPr>
      </w:pPr>
    </w:p>
    <w:p w:rsidR="00CB1519" w:rsidRDefault="00CB1519" w:rsidP="00CB1519">
      <w:pPr>
        <w:autoSpaceDE w:val="0"/>
        <w:autoSpaceDN w:val="0"/>
        <w:adjustRightInd w:val="0"/>
        <w:spacing w:line="240" w:lineRule="auto"/>
        <w:jc w:val="left"/>
        <w:rPr>
          <w:rFonts w:cs="Cambria"/>
          <w:color w:val="auto"/>
          <w:sz w:val="18"/>
          <w:szCs w:val="18"/>
        </w:rPr>
      </w:pPr>
    </w:p>
    <w:p w:rsidR="00CB1519" w:rsidRDefault="00CB1519" w:rsidP="00CB1519">
      <w:pPr>
        <w:autoSpaceDE w:val="0"/>
        <w:autoSpaceDN w:val="0"/>
        <w:adjustRightInd w:val="0"/>
        <w:spacing w:line="240" w:lineRule="auto"/>
        <w:jc w:val="left"/>
        <w:rPr>
          <w:rFonts w:cs="Cambria"/>
          <w:color w:val="auto"/>
          <w:sz w:val="18"/>
          <w:szCs w:val="18"/>
        </w:rPr>
      </w:pPr>
    </w:p>
    <w:p w:rsidR="00CB1519" w:rsidRDefault="00CB1519" w:rsidP="00CB1519">
      <w:pPr>
        <w:autoSpaceDE w:val="0"/>
        <w:autoSpaceDN w:val="0"/>
        <w:adjustRightInd w:val="0"/>
        <w:spacing w:line="240" w:lineRule="auto"/>
        <w:jc w:val="left"/>
        <w:rPr>
          <w:rFonts w:cs="Cambria"/>
          <w:color w:val="auto"/>
          <w:sz w:val="18"/>
          <w:szCs w:val="18"/>
        </w:rPr>
      </w:pPr>
    </w:p>
    <w:p w:rsidR="00CB1519" w:rsidRDefault="00CB1519" w:rsidP="00CB1519">
      <w:pPr>
        <w:autoSpaceDE w:val="0"/>
        <w:autoSpaceDN w:val="0"/>
        <w:adjustRightInd w:val="0"/>
        <w:spacing w:line="240" w:lineRule="auto"/>
        <w:jc w:val="left"/>
        <w:rPr>
          <w:rFonts w:cs="Cambria"/>
          <w:color w:val="auto"/>
          <w:sz w:val="18"/>
          <w:szCs w:val="18"/>
        </w:rPr>
      </w:pPr>
    </w:p>
    <w:p w:rsidR="00CB1519" w:rsidRDefault="00CB1519" w:rsidP="00CB1519">
      <w:pPr>
        <w:autoSpaceDE w:val="0"/>
        <w:autoSpaceDN w:val="0"/>
        <w:adjustRightInd w:val="0"/>
        <w:spacing w:line="240" w:lineRule="auto"/>
        <w:jc w:val="left"/>
        <w:rPr>
          <w:rFonts w:cs="Cambria"/>
          <w:color w:val="auto"/>
          <w:sz w:val="18"/>
          <w:szCs w:val="18"/>
        </w:rPr>
      </w:pPr>
      <w:r>
        <w:rPr>
          <w:rFonts w:cs="Cambria"/>
          <w:color w:val="auto"/>
          <w:sz w:val="18"/>
          <w:szCs w:val="18"/>
        </w:rPr>
        <w:t>Abb. 2 -  Aufbau der Apparatur.</w:t>
      </w:r>
    </w:p>
    <w:p w:rsidR="00CB1519" w:rsidRDefault="00CB1519" w:rsidP="00CB1519">
      <w:pPr>
        <w:autoSpaceDE w:val="0"/>
        <w:autoSpaceDN w:val="0"/>
        <w:adjustRightInd w:val="0"/>
        <w:spacing w:line="240" w:lineRule="auto"/>
        <w:jc w:val="left"/>
        <w:rPr>
          <w:rFonts w:cs="Cambria"/>
          <w:color w:val="auto"/>
          <w:sz w:val="18"/>
          <w:szCs w:val="18"/>
        </w:rPr>
      </w:pPr>
      <w:r>
        <w:rPr>
          <w:rFonts w:cs="Cambria"/>
          <w:noProof/>
          <w:color w:val="auto"/>
          <w:sz w:val="18"/>
          <w:szCs w:val="18"/>
          <w:lang w:eastAsia="de-DE"/>
        </w:rPr>
        <w:drawing>
          <wp:anchor distT="0" distB="0" distL="114300" distR="114300" simplePos="0" relativeHeight="251663360" behindDoc="0" locked="0" layoutInCell="1" allowOverlap="1">
            <wp:simplePos x="0" y="0"/>
            <wp:positionH relativeFrom="column">
              <wp:posOffset>4010432</wp:posOffset>
            </wp:positionH>
            <wp:positionV relativeFrom="paragraph">
              <wp:posOffset>1306</wp:posOffset>
            </wp:positionV>
            <wp:extent cx="1723486" cy="1500997"/>
            <wp:effectExtent l="19050" t="0" r="0" b="0"/>
            <wp:wrapNone/>
            <wp:docPr id="5" name="Bild 8" descr="C:\Users\noraa\Documents\SVP Chemie\Schwefel\ph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raa\Documents\SVP Chemie\Schwefel\phpapier.png"/>
                    <pic:cNvPicPr>
                      <a:picLocks noChangeAspect="1" noChangeArrowheads="1"/>
                    </pic:cNvPicPr>
                  </pic:nvPicPr>
                  <pic:blipFill>
                    <a:blip r:embed="rId15" cstate="print"/>
                    <a:srcRect/>
                    <a:stretch>
                      <a:fillRect/>
                    </a:stretch>
                  </pic:blipFill>
                  <pic:spPr bwMode="auto">
                    <a:xfrm>
                      <a:off x="0" y="0"/>
                      <a:ext cx="1723486" cy="1500997"/>
                    </a:xfrm>
                    <a:prstGeom prst="rect">
                      <a:avLst/>
                    </a:prstGeom>
                    <a:noFill/>
                    <a:ln w="9525">
                      <a:noFill/>
                      <a:miter lim="800000"/>
                      <a:headEnd/>
                      <a:tailEnd/>
                    </a:ln>
                  </pic:spPr>
                </pic:pic>
              </a:graphicData>
            </a:graphic>
          </wp:anchor>
        </w:drawing>
      </w:r>
      <w:r>
        <w:rPr>
          <w:rFonts w:cs="Cambria"/>
          <w:noProof/>
          <w:color w:val="auto"/>
          <w:sz w:val="18"/>
          <w:szCs w:val="18"/>
          <w:lang w:eastAsia="de-DE"/>
        </w:rPr>
        <w:drawing>
          <wp:anchor distT="0" distB="0" distL="114300" distR="114300" simplePos="0" relativeHeight="251662336" behindDoc="0" locked="0" layoutInCell="1" allowOverlap="1">
            <wp:simplePos x="0" y="0"/>
            <wp:positionH relativeFrom="column">
              <wp:posOffset>-233764</wp:posOffset>
            </wp:positionH>
            <wp:positionV relativeFrom="paragraph">
              <wp:posOffset>1306</wp:posOffset>
            </wp:positionV>
            <wp:extent cx="4458060" cy="1500997"/>
            <wp:effectExtent l="19050" t="0" r="0" b="0"/>
            <wp:wrapNone/>
            <wp:docPr id="6" name="Bild 9" descr="C:\Users\noraa\Documents\SVP Chemie\Schwefel\lack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raa\Documents\SVP Chemie\Schwefel\lackmus.png"/>
                    <pic:cNvPicPr>
                      <a:picLocks noChangeAspect="1" noChangeArrowheads="1"/>
                    </pic:cNvPicPr>
                  </pic:nvPicPr>
                  <pic:blipFill>
                    <a:blip r:embed="rId16" cstate="print"/>
                    <a:srcRect/>
                    <a:stretch>
                      <a:fillRect/>
                    </a:stretch>
                  </pic:blipFill>
                  <pic:spPr bwMode="auto">
                    <a:xfrm>
                      <a:off x="0" y="0"/>
                      <a:ext cx="4458060" cy="1500997"/>
                    </a:xfrm>
                    <a:prstGeom prst="rect">
                      <a:avLst/>
                    </a:prstGeom>
                    <a:noFill/>
                    <a:ln w="9525">
                      <a:noFill/>
                      <a:miter lim="800000"/>
                      <a:headEnd/>
                      <a:tailEnd/>
                    </a:ln>
                  </pic:spPr>
                </pic:pic>
              </a:graphicData>
            </a:graphic>
          </wp:anchor>
        </w:drawing>
      </w:r>
    </w:p>
    <w:p w:rsidR="00CB1519" w:rsidRDefault="00CB1519" w:rsidP="00CB1519">
      <w:pPr>
        <w:autoSpaceDE w:val="0"/>
        <w:autoSpaceDN w:val="0"/>
        <w:adjustRightInd w:val="0"/>
        <w:spacing w:line="240" w:lineRule="auto"/>
        <w:jc w:val="left"/>
        <w:rPr>
          <w:rFonts w:cs="Cambria"/>
          <w:color w:val="auto"/>
          <w:sz w:val="18"/>
          <w:szCs w:val="18"/>
        </w:rPr>
      </w:pPr>
    </w:p>
    <w:p w:rsidR="00CB1519" w:rsidRDefault="00CB1519" w:rsidP="00CB1519">
      <w:pPr>
        <w:autoSpaceDE w:val="0"/>
        <w:autoSpaceDN w:val="0"/>
        <w:adjustRightInd w:val="0"/>
        <w:spacing w:line="240" w:lineRule="auto"/>
        <w:jc w:val="left"/>
        <w:rPr>
          <w:rFonts w:cs="Cambria"/>
          <w:color w:val="auto"/>
          <w:sz w:val="18"/>
          <w:szCs w:val="18"/>
        </w:rPr>
      </w:pPr>
    </w:p>
    <w:p w:rsidR="00CB1519" w:rsidRDefault="00CB1519" w:rsidP="00CB1519">
      <w:pPr>
        <w:autoSpaceDE w:val="0"/>
        <w:autoSpaceDN w:val="0"/>
        <w:adjustRightInd w:val="0"/>
        <w:spacing w:line="240" w:lineRule="auto"/>
        <w:jc w:val="left"/>
        <w:rPr>
          <w:rFonts w:cs="Cambria"/>
          <w:color w:val="auto"/>
          <w:sz w:val="18"/>
          <w:szCs w:val="18"/>
        </w:rPr>
      </w:pPr>
    </w:p>
    <w:p w:rsidR="00CB1519" w:rsidRDefault="00CB1519" w:rsidP="00CB1519">
      <w:pPr>
        <w:autoSpaceDE w:val="0"/>
        <w:autoSpaceDN w:val="0"/>
        <w:adjustRightInd w:val="0"/>
        <w:spacing w:line="240" w:lineRule="auto"/>
        <w:jc w:val="left"/>
        <w:rPr>
          <w:rFonts w:cs="Cambria"/>
          <w:color w:val="auto"/>
          <w:sz w:val="18"/>
          <w:szCs w:val="18"/>
        </w:rPr>
      </w:pPr>
    </w:p>
    <w:p w:rsidR="00CB1519" w:rsidRDefault="00CB1519" w:rsidP="00CB1519">
      <w:pPr>
        <w:autoSpaceDE w:val="0"/>
        <w:autoSpaceDN w:val="0"/>
        <w:adjustRightInd w:val="0"/>
        <w:spacing w:line="240" w:lineRule="auto"/>
        <w:jc w:val="left"/>
        <w:rPr>
          <w:rFonts w:cs="Cambria"/>
          <w:color w:val="auto"/>
          <w:sz w:val="18"/>
          <w:szCs w:val="18"/>
        </w:rPr>
      </w:pPr>
    </w:p>
    <w:p w:rsidR="00CB1519" w:rsidRDefault="00CB1519" w:rsidP="00CB1519">
      <w:pPr>
        <w:autoSpaceDE w:val="0"/>
        <w:autoSpaceDN w:val="0"/>
        <w:adjustRightInd w:val="0"/>
        <w:spacing w:line="240" w:lineRule="auto"/>
        <w:jc w:val="left"/>
        <w:rPr>
          <w:rFonts w:cs="Cambria"/>
          <w:color w:val="auto"/>
          <w:sz w:val="18"/>
          <w:szCs w:val="18"/>
        </w:rPr>
      </w:pPr>
      <w:r>
        <w:rPr>
          <w:rFonts w:cs="Cambria"/>
          <w:color w:val="auto"/>
          <w:sz w:val="18"/>
          <w:szCs w:val="18"/>
        </w:rPr>
        <w:t xml:space="preserve">Abb. 3 -  Die Änderung des Indikators und die pH-Wert Überprüfung. </w:t>
      </w:r>
    </w:p>
    <w:p w:rsidR="00CB1519" w:rsidRDefault="00CB1519" w:rsidP="00CB1519">
      <w:pPr>
        <w:tabs>
          <w:tab w:val="left" w:pos="1701"/>
          <w:tab w:val="left" w:pos="1985"/>
        </w:tabs>
        <w:autoSpaceDE w:val="0"/>
        <w:autoSpaceDN w:val="0"/>
        <w:adjustRightInd w:val="0"/>
        <w:ind w:left="1980" w:hanging="1980"/>
        <w:rPr>
          <w:rFonts w:cs="Cambria"/>
          <w:color w:val="1D1B11"/>
        </w:rPr>
      </w:pPr>
      <w:r>
        <w:rPr>
          <w:rFonts w:cs="Cambria"/>
          <w:color w:val="1D1B11"/>
        </w:rPr>
        <w:t>Deutung:</w:t>
      </w:r>
      <w:r>
        <w:rPr>
          <w:rFonts w:cs="Cambria"/>
          <w:color w:val="1D1B11"/>
        </w:rPr>
        <w:tab/>
      </w:r>
      <w:r>
        <w:rPr>
          <w:rFonts w:cs="Cambria"/>
          <w:color w:val="1D1B11"/>
        </w:rPr>
        <w:tab/>
      </w:r>
      <w:r>
        <w:rPr>
          <w:rFonts w:cs="Cambria"/>
          <w:color w:val="1D1B11"/>
        </w:rPr>
        <w:tab/>
      </w:r>
      <w:proofErr w:type="gramStart"/>
      <w:r>
        <w:rPr>
          <w:rFonts w:cs="Cambria"/>
          <w:color w:val="1D1B11"/>
        </w:rPr>
        <w:t>Das</w:t>
      </w:r>
      <w:proofErr w:type="gramEnd"/>
      <w:r>
        <w:rPr>
          <w:rFonts w:cs="Cambria"/>
          <w:color w:val="1D1B11"/>
        </w:rPr>
        <w:t xml:space="preserve"> Pyrit wurde zu Eisenoxid oxidiert. Das Schwefeldioxid wurde zu </w:t>
      </w:r>
      <w:proofErr w:type="spellStart"/>
      <w:r>
        <w:rPr>
          <w:rFonts w:cs="Cambria"/>
          <w:color w:val="1D1B11"/>
        </w:rPr>
        <w:t>Schwefeltrioxid</w:t>
      </w:r>
      <w:proofErr w:type="spellEnd"/>
      <w:r>
        <w:rPr>
          <w:rFonts w:cs="Cambria"/>
          <w:color w:val="1D1B11"/>
        </w:rPr>
        <w:t xml:space="preserve"> oxidiert. In Wasser reagiert das </w:t>
      </w:r>
      <w:proofErr w:type="spellStart"/>
      <w:r>
        <w:rPr>
          <w:rFonts w:cs="Cambria"/>
          <w:color w:val="1D1B11"/>
        </w:rPr>
        <w:t>Schwefeltrioxid</w:t>
      </w:r>
      <w:proofErr w:type="spellEnd"/>
      <w:r>
        <w:rPr>
          <w:rFonts w:cs="Cambria"/>
          <w:color w:val="1D1B11"/>
        </w:rPr>
        <w:t xml:space="preserve"> in Wasser zu Schwefelsäure.</w:t>
      </w:r>
    </w:p>
    <w:p w:rsidR="00CB1519" w:rsidRDefault="00CB1519" w:rsidP="00CB1519">
      <w:pPr>
        <w:tabs>
          <w:tab w:val="left" w:pos="1701"/>
          <w:tab w:val="left" w:pos="1985"/>
        </w:tabs>
        <w:autoSpaceDE w:val="0"/>
        <w:autoSpaceDN w:val="0"/>
        <w:adjustRightInd w:val="0"/>
        <w:ind w:left="1695" w:hanging="1695"/>
        <w:rPr>
          <w:rFonts w:cs="Cambria"/>
          <w:color w:val="1D1B11"/>
          <w:vertAlign w:val="subscript"/>
        </w:rPr>
      </w:pPr>
      <w:r>
        <w:rPr>
          <w:rFonts w:cs="Cambria"/>
          <w:color w:val="1D1B11"/>
        </w:rPr>
        <w:tab/>
      </w:r>
      <w:r>
        <w:rPr>
          <w:rFonts w:cs="Cambria"/>
          <w:color w:val="1D1B11"/>
        </w:rPr>
        <w:tab/>
      </w:r>
      <w:r>
        <w:rPr>
          <w:rFonts w:cs="Cambria"/>
          <w:color w:val="1D1B11"/>
        </w:rPr>
        <w:tab/>
        <w:t>4 FeS</w:t>
      </w:r>
      <w:r>
        <w:rPr>
          <w:rFonts w:cs="Cambria"/>
          <w:color w:val="1D1B11"/>
          <w:vertAlign w:val="subscript"/>
        </w:rPr>
        <w:t>2(s)</w:t>
      </w:r>
      <w:r>
        <w:rPr>
          <w:rFonts w:cs="Cambria"/>
          <w:color w:val="1D1B11"/>
        </w:rPr>
        <w:t xml:space="preserve"> + 11 O</w:t>
      </w:r>
      <w:r>
        <w:rPr>
          <w:rFonts w:cs="Cambria"/>
          <w:color w:val="1D1B11"/>
          <w:vertAlign w:val="subscript"/>
        </w:rPr>
        <w:t>2(g)</w:t>
      </w:r>
      <w:r>
        <w:rPr>
          <w:rFonts w:cs="Cambria"/>
          <w:color w:val="1D1B11"/>
        </w:rPr>
        <w:t xml:space="preserve">  </w:t>
      </w:r>
      <w:r w:rsidRPr="00A6563D">
        <w:rPr>
          <w:rFonts w:cs="Cambria"/>
          <w:color w:val="1D1B11"/>
        </w:rPr>
        <w:sym w:font="Wingdings" w:char="F0E0"/>
      </w:r>
      <w:r>
        <w:rPr>
          <w:rFonts w:cs="Cambria"/>
          <w:color w:val="1D1B11"/>
        </w:rPr>
        <w:t xml:space="preserve"> 2 Fe</w:t>
      </w:r>
      <w:r>
        <w:rPr>
          <w:rFonts w:cs="Cambria"/>
          <w:color w:val="1D1B11"/>
          <w:vertAlign w:val="subscript"/>
        </w:rPr>
        <w:t>2</w:t>
      </w:r>
      <w:r>
        <w:rPr>
          <w:rFonts w:cs="Cambria"/>
          <w:color w:val="1D1B11"/>
        </w:rPr>
        <w:t>O</w:t>
      </w:r>
      <w:r>
        <w:rPr>
          <w:rFonts w:cs="Cambria"/>
          <w:color w:val="1D1B11"/>
          <w:vertAlign w:val="subscript"/>
        </w:rPr>
        <w:t>3(g)</w:t>
      </w:r>
      <w:r>
        <w:rPr>
          <w:rFonts w:cs="Cambria"/>
          <w:color w:val="1D1B11"/>
        </w:rPr>
        <w:t xml:space="preserve">  + 8 SO</w:t>
      </w:r>
      <w:r>
        <w:rPr>
          <w:rFonts w:cs="Cambria"/>
          <w:color w:val="1D1B11"/>
          <w:vertAlign w:val="subscript"/>
        </w:rPr>
        <w:t>2(g)</w:t>
      </w:r>
    </w:p>
    <w:p w:rsidR="00CB1519" w:rsidRDefault="00CB1519" w:rsidP="00CB1519">
      <w:pPr>
        <w:tabs>
          <w:tab w:val="left" w:pos="1701"/>
          <w:tab w:val="left" w:pos="1985"/>
        </w:tabs>
        <w:autoSpaceDE w:val="0"/>
        <w:autoSpaceDN w:val="0"/>
        <w:adjustRightInd w:val="0"/>
        <w:ind w:left="1980" w:hanging="1980"/>
        <w:rPr>
          <w:rFonts w:cs="Cambria"/>
          <w:color w:val="1D1B11"/>
          <w:vertAlign w:val="subscript"/>
        </w:rPr>
      </w:pPr>
      <w:r>
        <w:rPr>
          <w:rFonts w:cs="Cambria"/>
          <w:color w:val="1D1B11"/>
        </w:rPr>
        <w:tab/>
      </w:r>
      <w:r>
        <w:rPr>
          <w:rFonts w:cs="Cambria"/>
          <w:color w:val="1D1B11"/>
        </w:rPr>
        <w:tab/>
        <w:t>2 SO</w:t>
      </w:r>
      <w:r>
        <w:rPr>
          <w:rFonts w:cs="Cambria"/>
          <w:color w:val="1D1B11"/>
          <w:vertAlign w:val="subscript"/>
        </w:rPr>
        <w:t>2(g)</w:t>
      </w:r>
      <w:r>
        <w:rPr>
          <w:rFonts w:cs="Cambria"/>
          <w:color w:val="1D1B11"/>
        </w:rPr>
        <w:t xml:space="preserve"> + O</w:t>
      </w:r>
      <w:r>
        <w:rPr>
          <w:rFonts w:cs="Cambria"/>
          <w:color w:val="1D1B11"/>
          <w:vertAlign w:val="subscript"/>
        </w:rPr>
        <w:t>2(g)</w:t>
      </w:r>
      <w:r>
        <w:rPr>
          <w:rFonts w:cs="Cambria"/>
          <w:color w:val="1D1B11"/>
        </w:rPr>
        <w:t xml:space="preserve">  </w:t>
      </w:r>
      <w:r w:rsidRPr="00A6563D">
        <w:rPr>
          <w:rFonts w:cs="Cambria"/>
          <w:color w:val="1D1B11"/>
        </w:rPr>
        <w:sym w:font="Wingdings" w:char="F0E0"/>
      </w:r>
      <w:r>
        <w:rPr>
          <w:rFonts w:cs="Cambria"/>
          <w:color w:val="1D1B11"/>
        </w:rPr>
        <w:t xml:space="preserve"> 2 SO</w:t>
      </w:r>
      <w:r>
        <w:rPr>
          <w:rFonts w:cs="Cambria"/>
          <w:color w:val="1D1B11"/>
          <w:vertAlign w:val="subscript"/>
        </w:rPr>
        <w:t>3(g)</w:t>
      </w:r>
    </w:p>
    <w:p w:rsidR="00CB1519" w:rsidRDefault="00CB1519" w:rsidP="00CB1519">
      <w:pPr>
        <w:tabs>
          <w:tab w:val="left" w:pos="1701"/>
          <w:tab w:val="left" w:pos="1985"/>
        </w:tabs>
        <w:autoSpaceDE w:val="0"/>
        <w:autoSpaceDN w:val="0"/>
        <w:adjustRightInd w:val="0"/>
        <w:ind w:left="1980" w:hanging="1980"/>
        <w:rPr>
          <w:rFonts w:cs="Cambria"/>
          <w:color w:val="1D1B11"/>
          <w:vertAlign w:val="subscript"/>
        </w:rPr>
      </w:pPr>
      <w:r>
        <w:rPr>
          <w:rFonts w:cs="Cambria"/>
          <w:color w:val="1D1B11"/>
        </w:rPr>
        <w:tab/>
      </w:r>
      <w:r>
        <w:rPr>
          <w:rFonts w:cs="Cambria"/>
          <w:color w:val="1D1B11"/>
        </w:rPr>
        <w:tab/>
        <w:t>SO</w:t>
      </w:r>
      <w:r>
        <w:rPr>
          <w:rFonts w:cs="Cambria"/>
          <w:color w:val="1D1B11"/>
          <w:vertAlign w:val="subscript"/>
        </w:rPr>
        <w:t>3(g)</w:t>
      </w:r>
      <w:r>
        <w:rPr>
          <w:rFonts w:cs="Cambria"/>
          <w:color w:val="1D1B11"/>
        </w:rPr>
        <w:t xml:space="preserve"> + H</w:t>
      </w:r>
      <w:r>
        <w:rPr>
          <w:rFonts w:cs="Cambria"/>
          <w:color w:val="1D1B11"/>
          <w:vertAlign w:val="subscript"/>
        </w:rPr>
        <w:t>2</w:t>
      </w:r>
      <w:r>
        <w:rPr>
          <w:rFonts w:cs="Cambria"/>
          <w:color w:val="1D1B11"/>
        </w:rPr>
        <w:t>O</w:t>
      </w:r>
      <w:r>
        <w:rPr>
          <w:rFonts w:cs="Cambria"/>
          <w:color w:val="1D1B11"/>
          <w:vertAlign w:val="subscript"/>
        </w:rPr>
        <w:t>(l)</w:t>
      </w:r>
      <w:r>
        <w:rPr>
          <w:rFonts w:cs="Cambria"/>
          <w:color w:val="1D1B11"/>
        </w:rPr>
        <w:t xml:space="preserve">  </w:t>
      </w:r>
      <w:r w:rsidRPr="004021CD">
        <w:rPr>
          <w:rFonts w:cs="Cambria"/>
          <w:color w:val="1D1B11"/>
        </w:rPr>
        <w:sym w:font="Wingdings" w:char="F0E0"/>
      </w:r>
      <w:r>
        <w:rPr>
          <w:rFonts w:cs="Cambria"/>
          <w:color w:val="1D1B11"/>
        </w:rPr>
        <w:t xml:space="preserve"> 2 H</w:t>
      </w:r>
      <w:r>
        <w:rPr>
          <w:rFonts w:cs="Cambria"/>
          <w:color w:val="1D1B11"/>
          <w:vertAlign w:val="superscript"/>
        </w:rPr>
        <w:t>+</w:t>
      </w:r>
      <w:r>
        <w:rPr>
          <w:rFonts w:cs="Cambria"/>
          <w:color w:val="1D1B11"/>
          <w:vertAlign w:val="subscript"/>
        </w:rPr>
        <w:t>(</w:t>
      </w:r>
      <w:proofErr w:type="spellStart"/>
      <w:r>
        <w:rPr>
          <w:rFonts w:cs="Cambria"/>
          <w:color w:val="1D1B11"/>
          <w:vertAlign w:val="subscript"/>
        </w:rPr>
        <w:t>aq</w:t>
      </w:r>
      <w:proofErr w:type="spellEnd"/>
      <w:r>
        <w:rPr>
          <w:rFonts w:cs="Cambria"/>
          <w:color w:val="1D1B11"/>
          <w:vertAlign w:val="subscript"/>
        </w:rPr>
        <w:t>)</w:t>
      </w:r>
      <w:r>
        <w:rPr>
          <w:rFonts w:cs="Cambria"/>
          <w:color w:val="1D1B11"/>
        </w:rPr>
        <w:t xml:space="preserve"> + SO</w:t>
      </w:r>
      <w:r>
        <w:rPr>
          <w:rFonts w:cs="Cambria"/>
          <w:color w:val="1D1B11"/>
          <w:vertAlign w:val="subscript"/>
        </w:rPr>
        <w:t>4</w:t>
      </w:r>
      <w:r>
        <w:rPr>
          <w:rFonts w:cs="Cambria"/>
          <w:color w:val="1D1B11"/>
          <w:vertAlign w:val="superscript"/>
        </w:rPr>
        <w:t>2-</w:t>
      </w:r>
      <w:r>
        <w:rPr>
          <w:rFonts w:cs="Cambria"/>
          <w:color w:val="1D1B11"/>
          <w:vertAlign w:val="subscript"/>
        </w:rPr>
        <w:t>(</w:t>
      </w:r>
      <w:proofErr w:type="spellStart"/>
      <w:r>
        <w:rPr>
          <w:rFonts w:cs="Cambria"/>
          <w:color w:val="1D1B11"/>
          <w:vertAlign w:val="subscript"/>
        </w:rPr>
        <w:t>aq</w:t>
      </w:r>
      <w:proofErr w:type="spellEnd"/>
      <w:r>
        <w:rPr>
          <w:rFonts w:cs="Cambria"/>
          <w:color w:val="1D1B11"/>
          <w:vertAlign w:val="subscript"/>
        </w:rPr>
        <w:t>)</w:t>
      </w:r>
    </w:p>
    <w:p w:rsidR="00CB1519" w:rsidRDefault="00CB1519" w:rsidP="00CB1519">
      <w:pPr>
        <w:tabs>
          <w:tab w:val="left" w:pos="1701"/>
          <w:tab w:val="left" w:pos="1985"/>
        </w:tabs>
        <w:autoSpaceDE w:val="0"/>
        <w:autoSpaceDN w:val="0"/>
        <w:adjustRightInd w:val="0"/>
        <w:ind w:left="1979" w:hanging="1979"/>
        <w:rPr>
          <w:rFonts w:cs="Cambria"/>
          <w:color w:val="1D1B11"/>
        </w:rPr>
      </w:pPr>
      <w:r>
        <w:rPr>
          <w:rFonts w:cs="Cambria"/>
          <w:color w:val="1D1B11"/>
        </w:rPr>
        <w:t>Literatur:</w:t>
      </w:r>
      <w:r>
        <w:rPr>
          <w:rFonts w:cs="Cambria"/>
          <w:color w:val="1D1B11"/>
        </w:rPr>
        <w:tab/>
      </w:r>
      <w:r>
        <w:rPr>
          <w:rFonts w:cs="Cambria"/>
          <w:color w:val="1D1B11"/>
        </w:rPr>
        <w:tab/>
        <w:t xml:space="preserve">K. Häusler, H. </w:t>
      </w:r>
      <w:proofErr w:type="spellStart"/>
      <w:r>
        <w:rPr>
          <w:rFonts w:cs="Cambria"/>
          <w:color w:val="1D1B11"/>
        </w:rPr>
        <w:t>Rampf</w:t>
      </w:r>
      <w:proofErr w:type="spellEnd"/>
      <w:r>
        <w:rPr>
          <w:rFonts w:cs="Cambria"/>
          <w:color w:val="1D1B11"/>
        </w:rPr>
        <w:t xml:space="preserve">, R. Reichelt, Experimente für den Chemieunterricht mit einer Einführung in die Labortechnik, </w:t>
      </w:r>
      <w:proofErr w:type="spellStart"/>
      <w:r>
        <w:rPr>
          <w:rFonts w:cs="Cambria"/>
          <w:color w:val="1D1B11"/>
        </w:rPr>
        <w:t>Oldenbourg</w:t>
      </w:r>
      <w:proofErr w:type="spellEnd"/>
      <w:r>
        <w:rPr>
          <w:rFonts w:cs="Cambria"/>
          <w:color w:val="1D1B11"/>
        </w:rPr>
        <w:t>, 2. Auflage 1995, Druck 2013, S. 156-157.</w:t>
      </w:r>
    </w:p>
    <w:p w:rsidR="00CB1519" w:rsidRDefault="00CB1519" w:rsidP="00CB1519">
      <w:pPr>
        <w:tabs>
          <w:tab w:val="left" w:pos="1701"/>
          <w:tab w:val="left" w:pos="1985"/>
        </w:tabs>
        <w:autoSpaceDE w:val="0"/>
        <w:autoSpaceDN w:val="0"/>
        <w:adjustRightInd w:val="0"/>
        <w:ind w:left="1980" w:hanging="1980"/>
        <w:rPr>
          <w:rFonts w:cs="Cambria"/>
          <w:color w:val="1D1B11"/>
        </w:rPr>
      </w:pPr>
      <w:r>
        <w:rPr>
          <w:rFonts w:cs="Cambria"/>
          <w:color w:val="1D1B11"/>
        </w:rPr>
        <w:t xml:space="preserve">Entsorgung: </w:t>
      </w:r>
      <w:r>
        <w:rPr>
          <w:rFonts w:cs="Cambria"/>
          <w:color w:val="1D1B11"/>
        </w:rPr>
        <w:tab/>
      </w:r>
      <w:r>
        <w:rPr>
          <w:rFonts w:cs="Cambria"/>
          <w:color w:val="1D1B11"/>
        </w:rPr>
        <w:tab/>
        <w:t>Das überschüssige Gas in den Abzug leiten. Die Lösung wird im Säure-Base Behälter entsorgt. Der Katalysator kann wieder verwendet werden. Das E</w:t>
      </w:r>
      <w:r>
        <w:rPr>
          <w:rFonts w:cs="Cambria"/>
          <w:color w:val="1D1B11"/>
        </w:rPr>
        <w:t>i</w:t>
      </w:r>
      <w:r>
        <w:rPr>
          <w:rFonts w:cs="Cambria"/>
          <w:color w:val="1D1B11"/>
        </w:rPr>
        <w:t xml:space="preserve">senoxid wird im Schwermetallbehälter entsorgt. </w:t>
      </w:r>
    </w:p>
    <w:p w:rsidR="00CB1519" w:rsidRPr="001D0B8F" w:rsidRDefault="00CB1519" w:rsidP="00CB1519">
      <w:pPr>
        <w:tabs>
          <w:tab w:val="left" w:pos="1701"/>
          <w:tab w:val="left" w:pos="1985"/>
        </w:tabs>
        <w:ind w:left="1980" w:hanging="1980"/>
      </w:pPr>
      <w:r>
        <w:pict>
          <v:shape id="_x0000_s1026" type="#_x0000_t202" style="width:462.45pt;height:244.7pt;mso-position-horizontal-relative:char;mso-position-vertical-relative:line;mso-width-relative:margin;mso-height-relative:margin" fillcolor="white [3201]" strokecolor="#c0504d [3205]" strokeweight="1pt">
            <v:stroke dashstyle="dash"/>
            <v:shadow color="#868686"/>
            <v:textbox style="mso-next-textbox:#_x0000_s1026">
              <w:txbxContent>
                <w:p w:rsidR="00CB1519" w:rsidRDefault="00CB1519" w:rsidP="00CB1519">
                  <w:pPr>
                    <w:tabs>
                      <w:tab w:val="left" w:pos="1701"/>
                      <w:tab w:val="left" w:pos="1985"/>
                    </w:tabs>
                    <w:autoSpaceDE w:val="0"/>
                    <w:autoSpaceDN w:val="0"/>
                    <w:adjustRightInd w:val="0"/>
                    <w:rPr>
                      <w:rFonts w:cs="Cambria"/>
                      <w:color w:val="1F497D"/>
                    </w:rPr>
                  </w:pPr>
                  <w:r>
                    <w:rPr>
                      <w:rFonts w:cs="Cambria"/>
                      <w:color w:val="1F497D"/>
                    </w:rPr>
                    <w:t xml:space="preserve">Alternativ können auch </w:t>
                  </w:r>
                  <w:proofErr w:type="spellStart"/>
                  <w:r>
                    <w:rPr>
                      <w:rFonts w:cs="Cambria"/>
                      <w:color w:val="1F497D"/>
                    </w:rPr>
                    <w:t>Sulfationen</w:t>
                  </w:r>
                  <w:proofErr w:type="spellEnd"/>
                  <w:r>
                    <w:rPr>
                      <w:rFonts w:cs="Cambria"/>
                      <w:color w:val="1F497D"/>
                    </w:rPr>
                    <w:t xml:space="preserve"> nachgewiesen werden, über Barium nach Ansäuern mit </w:t>
                  </w:r>
                  <w:proofErr w:type="spellStart"/>
                  <w:r>
                    <w:rPr>
                      <w:rFonts w:cs="Cambria"/>
                      <w:color w:val="1F497D"/>
                    </w:rPr>
                    <w:t>HCl</w:t>
                  </w:r>
                  <w:proofErr w:type="spellEnd"/>
                  <w:r>
                    <w:rPr>
                      <w:rFonts w:cs="Cambria"/>
                      <w:color w:val="1F497D"/>
                    </w:rPr>
                    <w:t>. Der Nachweis von Säure hat erst funktioniert, als Luft nach der Reaktion durch die App</w:t>
                  </w:r>
                  <w:r>
                    <w:rPr>
                      <w:rFonts w:cs="Cambria"/>
                      <w:color w:val="1F497D"/>
                    </w:rPr>
                    <w:t>a</w:t>
                  </w:r>
                  <w:r>
                    <w:rPr>
                      <w:rFonts w:cs="Cambria"/>
                      <w:color w:val="1F497D"/>
                    </w:rPr>
                    <w:t>ratur gepustet wurde. Vielleicht sollte bei der Reaktion Luft oder Sauerstoff durch die Appar</w:t>
                  </w:r>
                  <w:r>
                    <w:rPr>
                      <w:rFonts w:cs="Cambria"/>
                      <w:color w:val="1F497D"/>
                    </w:rPr>
                    <w:t>a</w:t>
                  </w:r>
                  <w:r>
                    <w:rPr>
                      <w:rFonts w:cs="Cambria"/>
                      <w:color w:val="1F497D"/>
                    </w:rPr>
                    <w:t xml:space="preserve">tur geleitet werden, oder an der zweiten Waschflasche eine Wasserstrahlpumpe angeschlossen werden, wenn </w:t>
                  </w:r>
                  <w:proofErr w:type="gramStart"/>
                  <w:r>
                    <w:rPr>
                      <w:rFonts w:cs="Cambria"/>
                      <w:color w:val="1F497D"/>
                    </w:rPr>
                    <w:t>das</w:t>
                  </w:r>
                  <w:proofErr w:type="gramEnd"/>
                  <w:r>
                    <w:rPr>
                      <w:rFonts w:cs="Cambria"/>
                      <w:color w:val="1F497D"/>
                    </w:rPr>
                    <w:t xml:space="preserve"> Pyrit erhitzt wird. </w:t>
                  </w:r>
                </w:p>
                <w:p w:rsidR="00CB1519" w:rsidRDefault="00CB1519" w:rsidP="00CB1519">
                  <w:pPr>
                    <w:tabs>
                      <w:tab w:val="left" w:pos="1701"/>
                      <w:tab w:val="left" w:pos="1985"/>
                    </w:tabs>
                    <w:autoSpaceDE w:val="0"/>
                    <w:autoSpaceDN w:val="0"/>
                    <w:adjustRightInd w:val="0"/>
                    <w:rPr>
                      <w:rFonts w:cs="Cambria"/>
                      <w:color w:val="1F497D"/>
                    </w:rPr>
                  </w:pPr>
                  <w:r>
                    <w:rPr>
                      <w:rFonts w:cs="Cambria"/>
                      <w:color w:val="1F497D"/>
                    </w:rPr>
                    <w:t xml:space="preserve">Der Katalysator ist recht teuer, vielleicht funktioniert es auch mit Eisenwolle. </w:t>
                  </w:r>
                </w:p>
                <w:p w:rsidR="00CB1519" w:rsidRDefault="00CB1519" w:rsidP="00CB1519">
                  <w:pPr>
                    <w:tabs>
                      <w:tab w:val="left" w:pos="1701"/>
                      <w:tab w:val="left" w:pos="1985"/>
                    </w:tabs>
                    <w:autoSpaceDE w:val="0"/>
                    <w:autoSpaceDN w:val="0"/>
                    <w:adjustRightInd w:val="0"/>
                    <w:rPr>
                      <w:rFonts w:cs="Cambria"/>
                      <w:color w:val="1F497D"/>
                    </w:rPr>
                  </w:pPr>
                  <w:r>
                    <w:rPr>
                      <w:rFonts w:cs="Cambria"/>
                      <w:color w:val="1F497D"/>
                    </w:rPr>
                    <w:t>Der Versuch kann auch in der Einheit des chemischen Gleichgewichts wieder aufgegriffen we</w:t>
                  </w:r>
                  <w:r>
                    <w:rPr>
                      <w:rFonts w:cs="Cambria"/>
                      <w:color w:val="1F497D"/>
                    </w:rPr>
                    <w:t>r</w:t>
                  </w:r>
                  <w:r>
                    <w:rPr>
                      <w:rFonts w:cs="Cambria"/>
                      <w:color w:val="1F497D"/>
                    </w:rPr>
                    <w:t xml:space="preserve">den, da die Oxidation von Schwefeldioxid zu </w:t>
                  </w:r>
                  <w:proofErr w:type="spellStart"/>
                  <w:r>
                    <w:rPr>
                      <w:rFonts w:cs="Cambria"/>
                      <w:color w:val="1F497D"/>
                    </w:rPr>
                    <w:t>Schwefeltrioxid</w:t>
                  </w:r>
                  <w:proofErr w:type="spellEnd"/>
                  <w:r>
                    <w:rPr>
                      <w:rFonts w:cs="Cambria"/>
                      <w:color w:val="1F497D"/>
                    </w:rPr>
                    <w:t xml:space="preserve"> exotherm ist und somit geringe Temperaturen die Reaktion beschleunigen. Da für die Reaktion zu Schwefeldioxid eine hohe Temperatur nötig ist, wird ein Katalysator eingesetzt, um die Reaktion zu </w:t>
                  </w:r>
                  <w:proofErr w:type="spellStart"/>
                  <w:r>
                    <w:rPr>
                      <w:rFonts w:cs="Cambria"/>
                      <w:color w:val="1F497D"/>
                    </w:rPr>
                    <w:t>Schwefeltrioxid</w:t>
                  </w:r>
                  <w:proofErr w:type="spellEnd"/>
                  <w:r>
                    <w:rPr>
                      <w:rFonts w:cs="Cambria"/>
                      <w:color w:val="1F497D"/>
                    </w:rPr>
                    <w:t xml:space="preserve"> zu erhöhen. </w:t>
                  </w:r>
                </w:p>
                <w:p w:rsidR="00CB1519" w:rsidRPr="001D0B8F" w:rsidRDefault="00CB1519" w:rsidP="00CB1519"/>
              </w:txbxContent>
            </v:textbox>
            <w10:wrap type="none"/>
            <w10:anchorlock/>
          </v:shape>
        </w:pict>
      </w:r>
    </w:p>
    <w:p w:rsidR="00B93CB0" w:rsidRDefault="00B93CB0"/>
    <w:sectPr w:rsidR="00B93CB0" w:rsidSect="00B93CB0">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CB1519"/>
    <w:rsid w:val="0000249D"/>
    <w:rsid w:val="000109E3"/>
    <w:rsid w:val="00011AC0"/>
    <w:rsid w:val="0001418F"/>
    <w:rsid w:val="00016490"/>
    <w:rsid w:val="000202FB"/>
    <w:rsid w:val="00044AD5"/>
    <w:rsid w:val="00047287"/>
    <w:rsid w:val="00051DB1"/>
    <w:rsid w:val="000712EA"/>
    <w:rsid w:val="00071664"/>
    <w:rsid w:val="00071F21"/>
    <w:rsid w:val="000B5A53"/>
    <w:rsid w:val="000B7B81"/>
    <w:rsid w:val="000C69D2"/>
    <w:rsid w:val="000E56BA"/>
    <w:rsid w:val="000F0499"/>
    <w:rsid w:val="000F5F36"/>
    <w:rsid w:val="00104F91"/>
    <w:rsid w:val="00105CD3"/>
    <w:rsid w:val="001135ED"/>
    <w:rsid w:val="00114B5F"/>
    <w:rsid w:val="0011700F"/>
    <w:rsid w:val="00117DF5"/>
    <w:rsid w:val="00124004"/>
    <w:rsid w:val="00125FA3"/>
    <w:rsid w:val="00133E86"/>
    <w:rsid w:val="0013665F"/>
    <w:rsid w:val="00141789"/>
    <w:rsid w:val="00153566"/>
    <w:rsid w:val="00160B0B"/>
    <w:rsid w:val="00162FC5"/>
    <w:rsid w:val="00163AB4"/>
    <w:rsid w:val="00163BCB"/>
    <w:rsid w:val="00176222"/>
    <w:rsid w:val="00180232"/>
    <w:rsid w:val="00181C91"/>
    <w:rsid w:val="00191E34"/>
    <w:rsid w:val="001934D1"/>
    <w:rsid w:val="00194426"/>
    <w:rsid w:val="001A5655"/>
    <w:rsid w:val="001C2C46"/>
    <w:rsid w:val="001C306B"/>
    <w:rsid w:val="001C5C03"/>
    <w:rsid w:val="001D7831"/>
    <w:rsid w:val="001E691A"/>
    <w:rsid w:val="00202A5F"/>
    <w:rsid w:val="002058D0"/>
    <w:rsid w:val="0020742B"/>
    <w:rsid w:val="00217EFE"/>
    <w:rsid w:val="00222B6A"/>
    <w:rsid w:val="00242A32"/>
    <w:rsid w:val="00257F3F"/>
    <w:rsid w:val="002606BA"/>
    <w:rsid w:val="002608F0"/>
    <w:rsid w:val="002726D5"/>
    <w:rsid w:val="00294AEC"/>
    <w:rsid w:val="002A4424"/>
    <w:rsid w:val="002B2937"/>
    <w:rsid w:val="002E1486"/>
    <w:rsid w:val="002E2AA5"/>
    <w:rsid w:val="002E2B43"/>
    <w:rsid w:val="002E47B4"/>
    <w:rsid w:val="00300EE4"/>
    <w:rsid w:val="0030304D"/>
    <w:rsid w:val="00303685"/>
    <w:rsid w:val="0030793D"/>
    <w:rsid w:val="003109AD"/>
    <w:rsid w:val="00325AC9"/>
    <w:rsid w:val="003359AC"/>
    <w:rsid w:val="00347497"/>
    <w:rsid w:val="003477BB"/>
    <w:rsid w:val="003529F1"/>
    <w:rsid w:val="003547D3"/>
    <w:rsid w:val="00365E87"/>
    <w:rsid w:val="00367980"/>
    <w:rsid w:val="00371189"/>
    <w:rsid w:val="00375369"/>
    <w:rsid w:val="00392377"/>
    <w:rsid w:val="003A389B"/>
    <w:rsid w:val="003C06F1"/>
    <w:rsid w:val="003D6196"/>
    <w:rsid w:val="003E68DE"/>
    <w:rsid w:val="003F037D"/>
    <w:rsid w:val="003F09D6"/>
    <w:rsid w:val="003F286E"/>
    <w:rsid w:val="003F63D0"/>
    <w:rsid w:val="003F6C8C"/>
    <w:rsid w:val="00401647"/>
    <w:rsid w:val="00404632"/>
    <w:rsid w:val="004077FC"/>
    <w:rsid w:val="0041546D"/>
    <w:rsid w:val="00416CCC"/>
    <w:rsid w:val="00421A97"/>
    <w:rsid w:val="004231EB"/>
    <w:rsid w:val="004307D5"/>
    <w:rsid w:val="00435FFF"/>
    <w:rsid w:val="00443A7A"/>
    <w:rsid w:val="00474566"/>
    <w:rsid w:val="00480B4F"/>
    <w:rsid w:val="004871BC"/>
    <w:rsid w:val="00491914"/>
    <w:rsid w:val="00491CA9"/>
    <w:rsid w:val="00494EDF"/>
    <w:rsid w:val="004A639D"/>
    <w:rsid w:val="004A6FB9"/>
    <w:rsid w:val="004B11F5"/>
    <w:rsid w:val="004B634C"/>
    <w:rsid w:val="004C420A"/>
    <w:rsid w:val="004D1DFD"/>
    <w:rsid w:val="004D3AD7"/>
    <w:rsid w:val="004F307E"/>
    <w:rsid w:val="004F33B7"/>
    <w:rsid w:val="004F5232"/>
    <w:rsid w:val="00505972"/>
    <w:rsid w:val="005127E5"/>
    <w:rsid w:val="00514176"/>
    <w:rsid w:val="005200CA"/>
    <w:rsid w:val="00522BE5"/>
    <w:rsid w:val="0052786C"/>
    <w:rsid w:val="005328C7"/>
    <w:rsid w:val="00541FCB"/>
    <w:rsid w:val="00543F09"/>
    <w:rsid w:val="005477A9"/>
    <w:rsid w:val="00552684"/>
    <w:rsid w:val="005562AF"/>
    <w:rsid w:val="0056023C"/>
    <w:rsid w:val="0056041D"/>
    <w:rsid w:val="00566BB0"/>
    <w:rsid w:val="00573B3A"/>
    <w:rsid w:val="0057645C"/>
    <w:rsid w:val="0058161A"/>
    <w:rsid w:val="005A11B6"/>
    <w:rsid w:val="005A39E9"/>
    <w:rsid w:val="005A4DC9"/>
    <w:rsid w:val="005A6CD8"/>
    <w:rsid w:val="005A757C"/>
    <w:rsid w:val="005C0B65"/>
    <w:rsid w:val="005C62A9"/>
    <w:rsid w:val="005C7874"/>
    <w:rsid w:val="005D3948"/>
    <w:rsid w:val="005E4298"/>
    <w:rsid w:val="005E6384"/>
    <w:rsid w:val="005F405F"/>
    <w:rsid w:val="0060248F"/>
    <w:rsid w:val="00602FF1"/>
    <w:rsid w:val="00604E91"/>
    <w:rsid w:val="00606281"/>
    <w:rsid w:val="00617A27"/>
    <w:rsid w:val="006252B7"/>
    <w:rsid w:val="006333A1"/>
    <w:rsid w:val="006419C3"/>
    <w:rsid w:val="00655AFC"/>
    <w:rsid w:val="0065724C"/>
    <w:rsid w:val="006666D3"/>
    <w:rsid w:val="00673E1C"/>
    <w:rsid w:val="00693D98"/>
    <w:rsid w:val="0069652D"/>
    <w:rsid w:val="006B2545"/>
    <w:rsid w:val="006C05EC"/>
    <w:rsid w:val="006D0F1B"/>
    <w:rsid w:val="006D4B22"/>
    <w:rsid w:val="006F1F6D"/>
    <w:rsid w:val="006F20E3"/>
    <w:rsid w:val="00704F07"/>
    <w:rsid w:val="00721F86"/>
    <w:rsid w:val="007322EF"/>
    <w:rsid w:val="0074467C"/>
    <w:rsid w:val="00745CC1"/>
    <w:rsid w:val="00756BA1"/>
    <w:rsid w:val="00770B3D"/>
    <w:rsid w:val="00792920"/>
    <w:rsid w:val="007A2A42"/>
    <w:rsid w:val="007B3B68"/>
    <w:rsid w:val="007B570C"/>
    <w:rsid w:val="007B6E96"/>
    <w:rsid w:val="007C0024"/>
    <w:rsid w:val="007C13F5"/>
    <w:rsid w:val="007C4CF8"/>
    <w:rsid w:val="007C5F72"/>
    <w:rsid w:val="007D5561"/>
    <w:rsid w:val="007D7553"/>
    <w:rsid w:val="007E0E3B"/>
    <w:rsid w:val="007E685C"/>
    <w:rsid w:val="008015A4"/>
    <w:rsid w:val="0080204D"/>
    <w:rsid w:val="008021A0"/>
    <w:rsid w:val="00820583"/>
    <w:rsid w:val="0082324C"/>
    <w:rsid w:val="00825682"/>
    <w:rsid w:val="00846D92"/>
    <w:rsid w:val="008505B9"/>
    <w:rsid w:val="00855AFD"/>
    <w:rsid w:val="008575D8"/>
    <w:rsid w:val="00874B03"/>
    <w:rsid w:val="008937B4"/>
    <w:rsid w:val="008956F5"/>
    <w:rsid w:val="008977ED"/>
    <w:rsid w:val="008B3059"/>
    <w:rsid w:val="008C1355"/>
    <w:rsid w:val="008C23FE"/>
    <w:rsid w:val="008D176C"/>
    <w:rsid w:val="008D6B6B"/>
    <w:rsid w:val="008E6454"/>
    <w:rsid w:val="009005D5"/>
    <w:rsid w:val="009021DB"/>
    <w:rsid w:val="0090331C"/>
    <w:rsid w:val="0090371D"/>
    <w:rsid w:val="00906220"/>
    <w:rsid w:val="0091654B"/>
    <w:rsid w:val="009425A1"/>
    <w:rsid w:val="00943E92"/>
    <w:rsid w:val="00944CFB"/>
    <w:rsid w:val="00946990"/>
    <w:rsid w:val="0095149D"/>
    <w:rsid w:val="0095339A"/>
    <w:rsid w:val="00953AF6"/>
    <w:rsid w:val="00954F58"/>
    <w:rsid w:val="00965251"/>
    <w:rsid w:val="00966A56"/>
    <w:rsid w:val="00971360"/>
    <w:rsid w:val="00972377"/>
    <w:rsid w:val="0097352D"/>
    <w:rsid w:val="0097394A"/>
    <w:rsid w:val="00975E0F"/>
    <w:rsid w:val="0098029A"/>
    <w:rsid w:val="00980569"/>
    <w:rsid w:val="00980A79"/>
    <w:rsid w:val="00980D94"/>
    <w:rsid w:val="00984BD9"/>
    <w:rsid w:val="009914DD"/>
    <w:rsid w:val="00995C6E"/>
    <w:rsid w:val="009B5CAB"/>
    <w:rsid w:val="009C45B3"/>
    <w:rsid w:val="009C63F9"/>
    <w:rsid w:val="009D1D4C"/>
    <w:rsid w:val="009E2992"/>
    <w:rsid w:val="009E30C6"/>
    <w:rsid w:val="009E3BD8"/>
    <w:rsid w:val="009E6B32"/>
    <w:rsid w:val="009F3FDC"/>
    <w:rsid w:val="009F51CA"/>
    <w:rsid w:val="00A0110A"/>
    <w:rsid w:val="00A12FAE"/>
    <w:rsid w:val="00A21DBB"/>
    <w:rsid w:val="00A234B1"/>
    <w:rsid w:val="00A55E01"/>
    <w:rsid w:val="00A60861"/>
    <w:rsid w:val="00A63D8C"/>
    <w:rsid w:val="00A72FD7"/>
    <w:rsid w:val="00A75665"/>
    <w:rsid w:val="00A862C4"/>
    <w:rsid w:val="00A92618"/>
    <w:rsid w:val="00A95AA4"/>
    <w:rsid w:val="00AA3AF8"/>
    <w:rsid w:val="00AA4024"/>
    <w:rsid w:val="00AA66E0"/>
    <w:rsid w:val="00AA6D1D"/>
    <w:rsid w:val="00AB5092"/>
    <w:rsid w:val="00AC19E8"/>
    <w:rsid w:val="00AC397C"/>
    <w:rsid w:val="00AE54FF"/>
    <w:rsid w:val="00AF2BD7"/>
    <w:rsid w:val="00AF58D1"/>
    <w:rsid w:val="00B0136C"/>
    <w:rsid w:val="00B04E26"/>
    <w:rsid w:val="00B05452"/>
    <w:rsid w:val="00B05CDB"/>
    <w:rsid w:val="00B1226C"/>
    <w:rsid w:val="00B1311B"/>
    <w:rsid w:val="00B1505F"/>
    <w:rsid w:val="00B15D57"/>
    <w:rsid w:val="00B25E3D"/>
    <w:rsid w:val="00B351FF"/>
    <w:rsid w:val="00B43888"/>
    <w:rsid w:val="00B47816"/>
    <w:rsid w:val="00B566AD"/>
    <w:rsid w:val="00B6050E"/>
    <w:rsid w:val="00B61774"/>
    <w:rsid w:val="00B62CD1"/>
    <w:rsid w:val="00B653AF"/>
    <w:rsid w:val="00B654C5"/>
    <w:rsid w:val="00B7579B"/>
    <w:rsid w:val="00B81161"/>
    <w:rsid w:val="00B93CB0"/>
    <w:rsid w:val="00B94727"/>
    <w:rsid w:val="00B97174"/>
    <w:rsid w:val="00BA2901"/>
    <w:rsid w:val="00BB3FD7"/>
    <w:rsid w:val="00BC18F5"/>
    <w:rsid w:val="00BD3022"/>
    <w:rsid w:val="00BD5E3A"/>
    <w:rsid w:val="00BD6AB2"/>
    <w:rsid w:val="00BD6B61"/>
    <w:rsid w:val="00BE2009"/>
    <w:rsid w:val="00BE31F4"/>
    <w:rsid w:val="00BE41E6"/>
    <w:rsid w:val="00BE5BA2"/>
    <w:rsid w:val="00BF08F1"/>
    <w:rsid w:val="00C00187"/>
    <w:rsid w:val="00C118B9"/>
    <w:rsid w:val="00C12450"/>
    <w:rsid w:val="00C13B17"/>
    <w:rsid w:val="00C14ED4"/>
    <w:rsid w:val="00C235C2"/>
    <w:rsid w:val="00C30743"/>
    <w:rsid w:val="00C40799"/>
    <w:rsid w:val="00C41822"/>
    <w:rsid w:val="00C45BD3"/>
    <w:rsid w:val="00C47453"/>
    <w:rsid w:val="00C52814"/>
    <w:rsid w:val="00C55B54"/>
    <w:rsid w:val="00C64ED0"/>
    <w:rsid w:val="00C6502D"/>
    <w:rsid w:val="00C6533A"/>
    <w:rsid w:val="00C93A84"/>
    <w:rsid w:val="00C9733C"/>
    <w:rsid w:val="00CA6B2B"/>
    <w:rsid w:val="00CB1519"/>
    <w:rsid w:val="00CB2F26"/>
    <w:rsid w:val="00CC30D9"/>
    <w:rsid w:val="00CC3820"/>
    <w:rsid w:val="00CC6AD5"/>
    <w:rsid w:val="00CD15FF"/>
    <w:rsid w:val="00CD5E2B"/>
    <w:rsid w:val="00CE632A"/>
    <w:rsid w:val="00CF6B08"/>
    <w:rsid w:val="00CF75F7"/>
    <w:rsid w:val="00D00B05"/>
    <w:rsid w:val="00D12B8C"/>
    <w:rsid w:val="00D13B63"/>
    <w:rsid w:val="00D15269"/>
    <w:rsid w:val="00D220DB"/>
    <w:rsid w:val="00D42583"/>
    <w:rsid w:val="00D476A5"/>
    <w:rsid w:val="00D53C0A"/>
    <w:rsid w:val="00D56536"/>
    <w:rsid w:val="00D5784D"/>
    <w:rsid w:val="00D67F81"/>
    <w:rsid w:val="00D74FC3"/>
    <w:rsid w:val="00D75471"/>
    <w:rsid w:val="00D81986"/>
    <w:rsid w:val="00D82354"/>
    <w:rsid w:val="00D82A97"/>
    <w:rsid w:val="00D867E1"/>
    <w:rsid w:val="00DA22D3"/>
    <w:rsid w:val="00DA4EC1"/>
    <w:rsid w:val="00DA5FDF"/>
    <w:rsid w:val="00DB4079"/>
    <w:rsid w:val="00DC7A1A"/>
    <w:rsid w:val="00DD575F"/>
    <w:rsid w:val="00DE1180"/>
    <w:rsid w:val="00DE2060"/>
    <w:rsid w:val="00DE3E4F"/>
    <w:rsid w:val="00DF2622"/>
    <w:rsid w:val="00DF61BF"/>
    <w:rsid w:val="00E00713"/>
    <w:rsid w:val="00E02C43"/>
    <w:rsid w:val="00E068D5"/>
    <w:rsid w:val="00E06DD6"/>
    <w:rsid w:val="00E07A6D"/>
    <w:rsid w:val="00E20680"/>
    <w:rsid w:val="00E36F4F"/>
    <w:rsid w:val="00E37971"/>
    <w:rsid w:val="00E527B8"/>
    <w:rsid w:val="00E73ED2"/>
    <w:rsid w:val="00E745BF"/>
    <w:rsid w:val="00E76980"/>
    <w:rsid w:val="00E81025"/>
    <w:rsid w:val="00E82ECF"/>
    <w:rsid w:val="00E83876"/>
    <w:rsid w:val="00E85ECB"/>
    <w:rsid w:val="00E921EC"/>
    <w:rsid w:val="00E924BC"/>
    <w:rsid w:val="00E979BD"/>
    <w:rsid w:val="00EA09BC"/>
    <w:rsid w:val="00EB4530"/>
    <w:rsid w:val="00EB6B83"/>
    <w:rsid w:val="00EC37CA"/>
    <w:rsid w:val="00EC4362"/>
    <w:rsid w:val="00EC6465"/>
    <w:rsid w:val="00ED0F88"/>
    <w:rsid w:val="00ED2EB3"/>
    <w:rsid w:val="00ED75C5"/>
    <w:rsid w:val="00EE4DEA"/>
    <w:rsid w:val="00EE6F4E"/>
    <w:rsid w:val="00F03626"/>
    <w:rsid w:val="00F075D5"/>
    <w:rsid w:val="00F221EA"/>
    <w:rsid w:val="00F23805"/>
    <w:rsid w:val="00F2569E"/>
    <w:rsid w:val="00F31D06"/>
    <w:rsid w:val="00F3379A"/>
    <w:rsid w:val="00F3550B"/>
    <w:rsid w:val="00F45080"/>
    <w:rsid w:val="00F50715"/>
    <w:rsid w:val="00F6181E"/>
    <w:rsid w:val="00F61C75"/>
    <w:rsid w:val="00F728D1"/>
    <w:rsid w:val="00F86555"/>
    <w:rsid w:val="00F8793A"/>
    <w:rsid w:val="00F91B80"/>
    <w:rsid w:val="00F95C1D"/>
    <w:rsid w:val="00FC2143"/>
    <w:rsid w:val="00FC4BC5"/>
    <w:rsid w:val="00FC54FD"/>
    <w:rsid w:val="00FC61B4"/>
    <w:rsid w:val="00FD7480"/>
    <w:rsid w:val="00FE16DB"/>
    <w:rsid w:val="00FE4D94"/>
    <w:rsid w:val="00FF00C6"/>
    <w:rsid w:val="00FF227A"/>
    <w:rsid w:val="00FF2421"/>
    <w:rsid w:val="00FF289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1519"/>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CB1519"/>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CB1519"/>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CB1519"/>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CB151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CB151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CB151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CB151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B151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B151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B1519"/>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CB1519"/>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CB1519"/>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CB1519"/>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CB1519"/>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CB1519"/>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CB1519"/>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CB151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B1519"/>
    <w:rPr>
      <w:rFonts w:asciiTheme="majorHAnsi" w:eastAsiaTheme="majorEastAsia" w:hAnsiTheme="majorHAnsi" w:cstheme="majorBidi"/>
      <w:i/>
      <w:iCs/>
      <w:color w:val="404040" w:themeColor="text1" w:themeTint="BF"/>
      <w:sz w:val="20"/>
      <w:szCs w:val="20"/>
    </w:rPr>
  </w:style>
  <w:style w:type="paragraph" w:styleId="Sprechblasentext">
    <w:name w:val="Balloon Text"/>
    <w:basedOn w:val="Standard"/>
    <w:link w:val="SprechblasentextZchn"/>
    <w:uiPriority w:val="99"/>
    <w:semiHidden/>
    <w:unhideWhenUsed/>
    <w:rsid w:val="00CB15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1519"/>
    <w:rPr>
      <w:rFonts w:ascii="Tahoma" w:hAnsi="Tahoma" w:cs="Tahoma"/>
      <w:color w:val="1D1B11" w:themeColor="background2" w:themeShade="1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277</Words>
  <Characters>1750</Characters>
  <Application>Microsoft Office Word</Application>
  <DocSecurity>0</DocSecurity>
  <Lines>14</Lines>
  <Paragraphs>4</Paragraphs>
  <ScaleCrop>false</ScaleCrop>
  <Company/>
  <LinksUpToDate>false</LinksUpToDate>
  <CharactersWithSpaces>2023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noraa</dc:creator>
  <cp:lastModifiedBy>noraa</cp:lastModifiedBy>
  <cp:revision>1</cp:revision>
  <dcterms:created xsi:type="dcterms:W3CDTF">2014-08-26T21:04:00Z</dcterms:created>
  <dcterms:modified xsi:type="dcterms:W3CDTF">2014-08-26T21:04:00Z</dcterms:modified>
</cp:coreProperties>
</file>