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398" w:rsidRDefault="00FC6D7A" w:rsidP="007A1398">
      <w:pPr>
        <w:pStyle w:val="berschrift2"/>
        <w:numPr>
          <w:ilvl w:val="0"/>
          <w:numId w:val="0"/>
        </w:numPr>
        <w:ind w:left="576" w:hanging="576"/>
        <w:rPr>
          <w:rFonts w:cs="Cambria"/>
          <w:bCs w:val="0"/>
          <w:color w:val="1D1B11"/>
        </w:rPr>
      </w:pPr>
      <w:r w:rsidRPr="00FC6D7A"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.05pt;margin-top:55.4pt;width:462.45pt;height:46.05pt;z-index:251660288;mso-width-relative:margin;mso-height-relative:margin" fillcolor="white [3201]" strokecolor="#4bacc6 [3208]" strokeweight="1pt">
            <v:stroke dashstyle="dash"/>
            <v:shadow color="#868686"/>
            <v:textbox style="mso-next-textbox:#_x0000_s1027">
              <w:txbxContent>
                <w:p w:rsidR="007A1398" w:rsidRPr="00D23E95" w:rsidRDefault="007A1398" w:rsidP="007A1398">
                  <w:r w:rsidRPr="00D23E95">
                    <w:rPr>
                      <w:rFonts w:cs="Cambria"/>
                      <w:bCs/>
                      <w:color w:val="1F497D"/>
                    </w:rPr>
                    <w:t xml:space="preserve">Mit diesem Versuch soll die Nutzung von Schwefeldioxid als Konservierungsmittel thematisiert werden. </w:t>
                  </w:r>
                  <w:r>
                    <w:rPr>
                      <w:rFonts w:cs="Cambria"/>
                      <w:bCs/>
                      <w:color w:val="1F497D"/>
                    </w:rPr>
                    <w:t xml:space="preserve">Das erweiterte </w:t>
                  </w:r>
                  <w:proofErr w:type="spellStart"/>
                  <w:r w:rsidRPr="001D2F51">
                    <w:rPr>
                      <w:rFonts w:cs="Cambria"/>
                      <w:bCs/>
                      <w:color w:val="1F497D"/>
                    </w:rPr>
                    <w:t>Redoxkonzept</w:t>
                  </w:r>
                  <w:proofErr w:type="spellEnd"/>
                  <w:r>
                    <w:rPr>
                      <w:rFonts w:cs="Cambria"/>
                      <w:bCs/>
                      <w:color w:val="1F497D"/>
                    </w:rPr>
                    <w:t xml:space="preserve"> sollte</w:t>
                  </w:r>
                  <w:r w:rsidRPr="00D23E95">
                    <w:rPr>
                      <w:rFonts w:cs="Cambria"/>
                      <w:bCs/>
                      <w:color w:val="1F497D"/>
                    </w:rPr>
                    <w:t xml:space="preserve"> bekannt sein.</w:t>
                  </w:r>
                </w:p>
              </w:txbxContent>
            </v:textbox>
            <w10:wrap type="square"/>
          </v:shape>
        </w:pict>
      </w:r>
      <w:bookmarkStart w:id="0" w:name="_Toc396403993"/>
      <w:r w:rsidR="007A1398">
        <w:t>V 5</w:t>
      </w:r>
      <w:r w:rsidR="007A1398" w:rsidRPr="00833466">
        <w:t xml:space="preserve"> –</w:t>
      </w:r>
      <w:r w:rsidR="000B3409">
        <w:rPr>
          <w:rFonts w:cs="Cambria"/>
          <w:bCs w:val="0"/>
          <w:color w:val="1D1B11"/>
        </w:rPr>
        <w:t>Nachweis</w:t>
      </w:r>
      <w:r w:rsidR="007A1398" w:rsidRPr="00833466">
        <w:rPr>
          <w:rFonts w:cs="Cambria"/>
          <w:bCs w:val="0"/>
          <w:color w:val="1D1B11"/>
        </w:rPr>
        <w:t xml:space="preserve"> </w:t>
      </w:r>
      <w:r w:rsidR="007A1398">
        <w:rPr>
          <w:rFonts w:cs="Cambria"/>
          <w:bCs w:val="0"/>
          <w:color w:val="1D1B11"/>
        </w:rPr>
        <w:t xml:space="preserve">von </w:t>
      </w:r>
      <w:r w:rsidR="007A1398" w:rsidRPr="00833466">
        <w:rPr>
          <w:rFonts w:cs="Cambria"/>
          <w:bCs w:val="0"/>
          <w:color w:val="1D1B11"/>
        </w:rPr>
        <w:t>Schwefeldioxid</w:t>
      </w:r>
      <w:bookmarkEnd w:id="0"/>
    </w:p>
    <w:p w:rsidR="007A1398" w:rsidRPr="00D34A6E" w:rsidRDefault="007A1398" w:rsidP="007A1398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7A1398" w:rsidRPr="009C5E28" w:rsidTr="00C64E58">
        <w:tc>
          <w:tcPr>
            <w:tcW w:w="9322" w:type="dxa"/>
            <w:gridSpan w:val="9"/>
            <w:shd w:val="clear" w:color="auto" w:fill="4F81BD"/>
            <w:vAlign w:val="center"/>
          </w:tcPr>
          <w:p w:rsidR="007A1398" w:rsidRPr="009C5E28" w:rsidRDefault="007A1398" w:rsidP="00C64E58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7A1398" w:rsidRPr="009C5E28" w:rsidTr="00C64E58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1398" w:rsidRDefault="007A1398" w:rsidP="00C64E58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Calibri" w:hAnsi="Calibri" w:cs="Calibri"/>
                <w:color w:val="auto"/>
              </w:rPr>
            </w:pPr>
            <w:r>
              <w:rPr>
                <w:rFonts w:cs="Cambria"/>
                <w:color w:val="1D1B11"/>
                <w:sz w:val="20"/>
                <w:szCs w:val="20"/>
              </w:rPr>
              <w:t>Iod-Stärke-Papier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1398" w:rsidRDefault="007A1398" w:rsidP="00C64E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color w:val="auto"/>
              </w:rPr>
            </w:pPr>
            <w:r>
              <w:rPr>
                <w:rFonts w:cs="Cambria"/>
                <w:color w:val="1D1B11"/>
              </w:rPr>
              <w:t xml:space="preserve">-            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A1398" w:rsidRDefault="007A1398" w:rsidP="00C64E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libri" w:hAnsi="Calibri" w:cs="Calibri"/>
                <w:color w:val="auto"/>
              </w:rPr>
            </w:pPr>
            <w:r>
              <w:rPr>
                <w:rFonts w:cs="Cambria"/>
                <w:color w:val="1D1B11"/>
                <w:sz w:val="20"/>
                <w:szCs w:val="20"/>
              </w:rPr>
              <w:t>-</w:t>
            </w:r>
          </w:p>
        </w:tc>
      </w:tr>
      <w:tr w:rsidR="007A1398" w:rsidRPr="009C5E28" w:rsidTr="00C64E58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1398" w:rsidRPr="009C5E28" w:rsidRDefault="007A1398" w:rsidP="00C64E58">
            <w:pPr>
              <w:spacing w:after="0"/>
              <w:jc w:val="center"/>
              <w:rPr>
                <w:b/>
                <w:bCs/>
              </w:rPr>
            </w:pPr>
            <w:r w:rsidRPr="00D23E95">
              <w:rPr>
                <w:b/>
                <w:bCs/>
                <w:noProof/>
                <w:lang w:eastAsia="de-DE"/>
              </w:rPr>
              <w:drawing>
                <wp:inline distT="0" distB="0" distL="0" distR="0">
                  <wp:extent cx="517525" cy="517525"/>
                  <wp:effectExtent l="19050" t="0" r="0" b="0"/>
                  <wp:docPr id="633" name="Bild 1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17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1398" w:rsidRPr="009C5E28" w:rsidRDefault="007A1398" w:rsidP="00C64E58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61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1398" w:rsidRPr="009C5E28" w:rsidRDefault="007A1398" w:rsidP="00C64E58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62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1398" w:rsidRPr="009C5E28" w:rsidRDefault="007A1398" w:rsidP="00C64E58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63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1398" w:rsidRPr="009C5E28" w:rsidRDefault="007A1398" w:rsidP="00C64E58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60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1398" w:rsidRPr="009C5E28" w:rsidRDefault="007A1398" w:rsidP="00C64E58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61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1398" w:rsidRPr="009C5E28" w:rsidRDefault="007A1398" w:rsidP="00C64E58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62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7A1398" w:rsidRPr="009C5E28" w:rsidRDefault="007A1398" w:rsidP="00C64E58">
            <w:pPr>
              <w:spacing w:after="0"/>
              <w:jc w:val="center"/>
            </w:pPr>
            <w:r>
              <w:rPr>
                <w:rFonts w:ascii="Calibri" w:hAnsi="Calibri" w:cs="Calibri"/>
                <w:noProof/>
                <w:color w:val="auto"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63" name="Bild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7A1398" w:rsidRPr="009C5E28" w:rsidRDefault="007A1398" w:rsidP="00C64E58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64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1398" w:rsidRDefault="007A1398" w:rsidP="007A1398">
      <w:pPr>
        <w:tabs>
          <w:tab w:val="left" w:pos="1701"/>
          <w:tab w:val="left" w:pos="1985"/>
        </w:tabs>
        <w:autoSpaceDE w:val="0"/>
        <w:autoSpaceDN w:val="0"/>
        <w:adjustRightInd w:val="0"/>
        <w:rPr>
          <w:rFonts w:cs="Cambria"/>
          <w:color w:val="1D1B11"/>
        </w:rPr>
      </w:pPr>
    </w:p>
    <w:p w:rsidR="007A1398" w:rsidRDefault="007A1398" w:rsidP="007A1398">
      <w:pPr>
        <w:tabs>
          <w:tab w:val="left" w:pos="1701"/>
          <w:tab w:val="left" w:pos="1985"/>
        </w:tabs>
        <w:autoSpaceDE w:val="0"/>
        <w:autoSpaceDN w:val="0"/>
        <w:adjustRightInd w:val="0"/>
        <w:ind w:left="1980" w:hanging="1980"/>
        <w:rPr>
          <w:rFonts w:cs="Cambria"/>
          <w:color w:val="1D1B11"/>
        </w:rPr>
      </w:pPr>
      <w:r>
        <w:rPr>
          <w:rFonts w:cs="Cambria"/>
          <w:color w:val="1D1B11"/>
        </w:rPr>
        <w:t xml:space="preserve">Materialien: </w:t>
      </w:r>
      <w:r>
        <w:rPr>
          <w:rFonts w:cs="Cambria"/>
          <w:color w:val="1D1B11"/>
        </w:rPr>
        <w:tab/>
      </w:r>
      <w:r>
        <w:rPr>
          <w:rFonts w:cs="Cambria"/>
          <w:color w:val="1D1B11"/>
        </w:rPr>
        <w:tab/>
        <w:t xml:space="preserve">2 </w:t>
      </w:r>
      <w:proofErr w:type="spellStart"/>
      <w:r>
        <w:rPr>
          <w:rFonts w:cs="Cambria"/>
          <w:color w:val="1D1B11"/>
        </w:rPr>
        <w:t>Erlenmeyerkolben</w:t>
      </w:r>
      <w:proofErr w:type="spellEnd"/>
      <w:r>
        <w:rPr>
          <w:rFonts w:cs="Cambria"/>
          <w:color w:val="1D1B11"/>
        </w:rPr>
        <w:t xml:space="preserve"> oder Becherglas, Bunsenbrenner, Dreifuß mit Tondreieck, Holzzange</w:t>
      </w:r>
    </w:p>
    <w:p w:rsidR="007A1398" w:rsidRDefault="007A1398" w:rsidP="007A1398">
      <w:pPr>
        <w:tabs>
          <w:tab w:val="left" w:pos="1701"/>
          <w:tab w:val="left" w:pos="1985"/>
        </w:tabs>
        <w:autoSpaceDE w:val="0"/>
        <w:autoSpaceDN w:val="0"/>
        <w:adjustRightInd w:val="0"/>
        <w:ind w:left="1980" w:hanging="1980"/>
        <w:rPr>
          <w:rFonts w:cs="Cambria"/>
          <w:color w:val="1D1B11"/>
        </w:rPr>
      </w:pPr>
      <w:r>
        <w:rPr>
          <w:rFonts w:cs="Cambria"/>
          <w:color w:val="1D1B11"/>
        </w:rPr>
        <w:t>Chemikalien:</w:t>
      </w:r>
      <w:r>
        <w:rPr>
          <w:rFonts w:cs="Cambria"/>
          <w:color w:val="1D1B11"/>
        </w:rPr>
        <w:tab/>
      </w:r>
      <w:r>
        <w:rPr>
          <w:rFonts w:cs="Cambria"/>
          <w:color w:val="1D1B11"/>
        </w:rPr>
        <w:tab/>
        <w:t>geschwefeltes Trockenobst: Aprikosen, Weißwein, Iod-Stärke-Papier</w:t>
      </w:r>
    </w:p>
    <w:p w:rsidR="007A1398" w:rsidRDefault="007A1398" w:rsidP="007A1398">
      <w:pPr>
        <w:tabs>
          <w:tab w:val="left" w:pos="1701"/>
          <w:tab w:val="left" w:pos="1985"/>
        </w:tabs>
        <w:autoSpaceDE w:val="0"/>
        <w:autoSpaceDN w:val="0"/>
        <w:adjustRightInd w:val="0"/>
        <w:ind w:left="1980" w:hanging="1980"/>
        <w:rPr>
          <w:rFonts w:cs="Cambria"/>
          <w:color w:val="1D1B11"/>
        </w:rPr>
      </w:pPr>
      <w:r>
        <w:rPr>
          <w:rFonts w:cs="Cambria"/>
          <w:color w:val="1D1B11"/>
        </w:rPr>
        <w:t xml:space="preserve">Durchführung: </w:t>
      </w:r>
      <w:r>
        <w:rPr>
          <w:rFonts w:cs="Cambria"/>
          <w:color w:val="1D1B11"/>
        </w:rPr>
        <w:tab/>
      </w:r>
      <w:r>
        <w:rPr>
          <w:rFonts w:cs="Cambria"/>
          <w:color w:val="1D1B11"/>
        </w:rPr>
        <w:tab/>
        <w:t xml:space="preserve">Der Weißwein (20 ml) und eine zerkleinerte Aprikose werden je in einen kleinen </w:t>
      </w:r>
      <w:proofErr w:type="spellStart"/>
      <w:r>
        <w:rPr>
          <w:rFonts w:cs="Cambria"/>
          <w:color w:val="1D1B11"/>
        </w:rPr>
        <w:t>Erlenmeyerkolben</w:t>
      </w:r>
      <w:proofErr w:type="spellEnd"/>
      <w:r>
        <w:rPr>
          <w:rFonts w:cs="Cambria"/>
          <w:color w:val="1D1B11"/>
        </w:rPr>
        <w:t xml:space="preserve"> oder Becherglas gegeben. Zu der Aprikose werden noch 25 ml Wasser gegeben. Ein befeuchtetes blaues Iod-Stärke-Papier wird mit der einem Hälfte in den </w:t>
      </w:r>
      <w:proofErr w:type="spellStart"/>
      <w:r>
        <w:rPr>
          <w:rFonts w:cs="Cambria"/>
          <w:color w:val="1D1B11"/>
        </w:rPr>
        <w:t>Erlenmeyerkolben</w:t>
      </w:r>
      <w:proofErr w:type="spellEnd"/>
      <w:r>
        <w:rPr>
          <w:rFonts w:cs="Cambria"/>
          <w:color w:val="1D1B11"/>
        </w:rPr>
        <w:t xml:space="preserve"> gelegt. Der </w:t>
      </w:r>
      <w:proofErr w:type="spellStart"/>
      <w:r>
        <w:rPr>
          <w:rFonts w:cs="Cambria"/>
          <w:color w:val="1D1B11"/>
        </w:rPr>
        <w:t>Erlenmeyerkolben</w:t>
      </w:r>
      <w:proofErr w:type="spellEnd"/>
      <w:r>
        <w:rPr>
          <w:rFonts w:cs="Cambria"/>
          <w:color w:val="1D1B11"/>
        </w:rPr>
        <w:t xml:space="preserve"> wird über dem Bunsenbrenner unter ständigem Schwenken oder auf dem Dreifuß erhitzt.  </w:t>
      </w:r>
    </w:p>
    <w:p w:rsidR="007A1398" w:rsidRDefault="007A1398" w:rsidP="007A1398">
      <w:pPr>
        <w:tabs>
          <w:tab w:val="left" w:pos="1701"/>
          <w:tab w:val="left" w:pos="1985"/>
        </w:tabs>
        <w:autoSpaceDE w:val="0"/>
        <w:autoSpaceDN w:val="0"/>
        <w:adjustRightInd w:val="0"/>
        <w:ind w:left="1980" w:hanging="1980"/>
        <w:rPr>
          <w:rFonts w:cs="Cambria"/>
          <w:color w:val="1D1B11"/>
        </w:rPr>
      </w:pPr>
      <w:r>
        <w:rPr>
          <w:rFonts w:cs="Cambria"/>
          <w:color w:val="1D1B11"/>
        </w:rPr>
        <w:t>Beobachtung:</w:t>
      </w:r>
      <w:r>
        <w:rPr>
          <w:rFonts w:cs="Cambria"/>
          <w:color w:val="1D1B11"/>
        </w:rPr>
        <w:tab/>
      </w:r>
      <w:r>
        <w:rPr>
          <w:rFonts w:cs="Cambria"/>
          <w:color w:val="1D1B11"/>
        </w:rPr>
        <w:tab/>
        <w:t xml:space="preserve">Das Iod-Stärke-Papier entfärbt sich. </w:t>
      </w:r>
    </w:p>
    <w:p w:rsidR="007A1398" w:rsidRDefault="007A1398" w:rsidP="007A1398">
      <w:pPr>
        <w:keepNext/>
        <w:tabs>
          <w:tab w:val="left" w:pos="1701"/>
          <w:tab w:val="left" w:pos="1985"/>
        </w:tabs>
        <w:ind w:left="1980" w:hanging="1980"/>
      </w:pP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16402</wp:posOffset>
            </wp:positionH>
            <wp:positionV relativeFrom="paragraph">
              <wp:posOffset>-218308</wp:posOffset>
            </wp:positionV>
            <wp:extent cx="5760648" cy="2001328"/>
            <wp:effectExtent l="19050" t="0" r="0" b="0"/>
            <wp:wrapNone/>
            <wp:docPr id="4" name="Bild 16" descr="C:\Users\noraa\Documents\SVP Chemie\Schwefel\weinaprikos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oraa\Documents\SVP Chemie\Schwefel\weinaprikose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8" cy="2001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398" w:rsidRDefault="007A1398" w:rsidP="007A1398">
      <w:pPr>
        <w:keepNext/>
        <w:tabs>
          <w:tab w:val="left" w:pos="1701"/>
          <w:tab w:val="left" w:pos="1985"/>
        </w:tabs>
        <w:ind w:left="1980" w:hanging="1980"/>
      </w:pPr>
    </w:p>
    <w:p w:rsidR="007A1398" w:rsidRDefault="007A1398" w:rsidP="007A1398">
      <w:pPr>
        <w:keepNext/>
        <w:tabs>
          <w:tab w:val="left" w:pos="1701"/>
          <w:tab w:val="left" w:pos="1985"/>
        </w:tabs>
        <w:ind w:left="1980" w:hanging="1980"/>
      </w:pPr>
    </w:p>
    <w:p w:rsidR="007A1398" w:rsidRDefault="007A1398" w:rsidP="007A1398">
      <w:pPr>
        <w:keepNext/>
        <w:tabs>
          <w:tab w:val="left" w:pos="1701"/>
          <w:tab w:val="left" w:pos="1985"/>
        </w:tabs>
        <w:ind w:left="1980" w:hanging="1980"/>
      </w:pPr>
    </w:p>
    <w:p w:rsidR="007A1398" w:rsidRDefault="007A1398" w:rsidP="007A1398">
      <w:pPr>
        <w:keepNext/>
        <w:tabs>
          <w:tab w:val="left" w:pos="1701"/>
          <w:tab w:val="left" w:pos="1985"/>
        </w:tabs>
        <w:ind w:left="1980" w:hanging="1980"/>
      </w:pPr>
    </w:p>
    <w:p w:rsidR="007A1398" w:rsidRDefault="007A1398" w:rsidP="007A1398">
      <w:pPr>
        <w:tabs>
          <w:tab w:val="left" w:pos="1701"/>
          <w:tab w:val="left" w:pos="1985"/>
        </w:tabs>
        <w:rPr>
          <w:rFonts w:cs="Cambria"/>
          <w:color w:val="auto"/>
          <w:sz w:val="18"/>
          <w:szCs w:val="18"/>
        </w:rPr>
      </w:pPr>
      <w:r>
        <w:rPr>
          <w:rFonts w:cs="Cambria"/>
          <w:color w:val="auto"/>
          <w:sz w:val="18"/>
          <w:szCs w:val="18"/>
        </w:rPr>
        <w:t xml:space="preserve">Abb. 7 -  Aprikosen im </w:t>
      </w:r>
      <w:proofErr w:type="spellStart"/>
      <w:r>
        <w:rPr>
          <w:rFonts w:cs="Cambria"/>
          <w:color w:val="auto"/>
          <w:sz w:val="18"/>
          <w:szCs w:val="18"/>
        </w:rPr>
        <w:t>Erlenmeyerkolben</w:t>
      </w:r>
      <w:proofErr w:type="spellEnd"/>
      <w:r>
        <w:rPr>
          <w:rFonts w:cs="Cambria"/>
          <w:color w:val="auto"/>
          <w:sz w:val="18"/>
          <w:szCs w:val="18"/>
        </w:rPr>
        <w:t>, Weißwein beim Erhitzen, Iod-Stärke-Papier (vorne Vergleichsprobe, hinten Nachweis von SO</w:t>
      </w:r>
      <w:r>
        <w:rPr>
          <w:rFonts w:cs="Cambria"/>
          <w:color w:val="auto"/>
          <w:sz w:val="18"/>
          <w:szCs w:val="18"/>
          <w:vertAlign w:val="subscript"/>
        </w:rPr>
        <w:t>2</w:t>
      </w:r>
      <w:r>
        <w:rPr>
          <w:rFonts w:cs="Cambria"/>
          <w:color w:val="auto"/>
          <w:sz w:val="18"/>
          <w:szCs w:val="18"/>
        </w:rPr>
        <w:t>, rechte Hälfte im Becherglas, linke Hälfte außerhalb).</w:t>
      </w:r>
    </w:p>
    <w:p w:rsidR="007A1398" w:rsidRDefault="007A1398" w:rsidP="007A1398">
      <w:pPr>
        <w:tabs>
          <w:tab w:val="left" w:pos="1701"/>
          <w:tab w:val="left" w:pos="1985"/>
        </w:tabs>
        <w:autoSpaceDE w:val="0"/>
        <w:autoSpaceDN w:val="0"/>
        <w:adjustRightInd w:val="0"/>
        <w:spacing w:line="480" w:lineRule="auto"/>
        <w:ind w:left="1980" w:hanging="1980"/>
        <w:rPr>
          <w:rFonts w:cs="Cambria"/>
          <w:color w:val="1D1B11"/>
        </w:rPr>
      </w:pPr>
      <w:r>
        <w:rPr>
          <w:rFonts w:cs="Cambria"/>
          <w:color w:val="1D1B11"/>
        </w:rPr>
        <w:t>Deutung:</w:t>
      </w:r>
      <w:r>
        <w:rPr>
          <w:rFonts w:cs="Cambria"/>
          <w:color w:val="1D1B11"/>
        </w:rPr>
        <w:tab/>
      </w:r>
      <w:r>
        <w:rPr>
          <w:rFonts w:cs="Cambria"/>
          <w:color w:val="1D1B11"/>
        </w:rPr>
        <w:tab/>
        <w:t>Durch die Wärme wird das SO</w:t>
      </w:r>
      <w:r>
        <w:rPr>
          <w:rFonts w:cs="Cambria"/>
          <w:color w:val="1D1B11"/>
          <w:vertAlign w:val="subscript"/>
        </w:rPr>
        <w:t>2</w:t>
      </w:r>
      <w:r>
        <w:rPr>
          <w:rFonts w:cs="Cambria"/>
          <w:color w:val="1D1B11"/>
        </w:rPr>
        <w:t xml:space="preserve"> ausgetrieben. Das SO</w:t>
      </w:r>
      <w:r>
        <w:rPr>
          <w:rFonts w:cs="Cambria"/>
          <w:color w:val="1D1B11"/>
          <w:vertAlign w:val="subscript"/>
        </w:rPr>
        <w:t>2</w:t>
      </w:r>
      <w:r>
        <w:rPr>
          <w:rFonts w:cs="Cambria"/>
          <w:color w:val="1D1B11"/>
        </w:rPr>
        <w:t xml:space="preserve"> ist ein starkes Reduktionsmittel. Es reduziert das Iod zu </w:t>
      </w:r>
      <w:proofErr w:type="spellStart"/>
      <w:r>
        <w:rPr>
          <w:rFonts w:cs="Cambria"/>
          <w:color w:val="1D1B11"/>
        </w:rPr>
        <w:t>Iodionen</w:t>
      </w:r>
      <w:proofErr w:type="spellEnd"/>
      <w:r>
        <w:rPr>
          <w:rFonts w:cs="Cambria"/>
          <w:color w:val="1D1B11"/>
        </w:rPr>
        <w:t>.</w:t>
      </w:r>
    </w:p>
    <w:p w:rsidR="007A1398" w:rsidRDefault="007A1398" w:rsidP="007A1398">
      <w:pPr>
        <w:tabs>
          <w:tab w:val="left" w:pos="1701"/>
          <w:tab w:val="left" w:pos="1985"/>
        </w:tabs>
        <w:autoSpaceDE w:val="0"/>
        <w:autoSpaceDN w:val="0"/>
        <w:adjustRightInd w:val="0"/>
        <w:spacing w:line="480" w:lineRule="auto"/>
        <w:ind w:left="1980" w:hanging="1980"/>
        <w:rPr>
          <w:rFonts w:cs="Cambria"/>
          <w:color w:val="1D1B11"/>
          <w:vertAlign w:val="subscript"/>
        </w:rPr>
      </w:pPr>
      <w:r>
        <w:rPr>
          <w:rFonts w:cs="Cambria"/>
          <w:color w:val="1D1B11"/>
        </w:rPr>
        <w:lastRenderedPageBreak/>
        <w:tab/>
      </w:r>
      <w:r>
        <w:rPr>
          <w:rFonts w:cs="Cambria"/>
          <w:color w:val="1D1B11"/>
        </w:rPr>
        <w:tab/>
        <w:t>SO</w:t>
      </w:r>
      <w:r>
        <w:rPr>
          <w:rFonts w:cs="Cambria"/>
          <w:color w:val="1D1B11"/>
          <w:vertAlign w:val="subscript"/>
        </w:rPr>
        <w:t>2(g)</w:t>
      </w:r>
      <w:r>
        <w:rPr>
          <w:rFonts w:cs="Cambria"/>
          <w:color w:val="1D1B11"/>
        </w:rPr>
        <w:t xml:space="preserve"> + I</w:t>
      </w:r>
      <w:r>
        <w:rPr>
          <w:rFonts w:cs="Cambria"/>
          <w:color w:val="1D1B11"/>
          <w:vertAlign w:val="subscript"/>
        </w:rPr>
        <w:t>2(s)</w:t>
      </w:r>
      <w:r>
        <w:rPr>
          <w:rFonts w:cs="Cambria"/>
          <w:color w:val="1D1B11"/>
        </w:rPr>
        <w:t xml:space="preserve"> + 2 H</w:t>
      </w:r>
      <w:r>
        <w:rPr>
          <w:rFonts w:cs="Cambria"/>
          <w:color w:val="1D1B11"/>
          <w:vertAlign w:val="subscript"/>
        </w:rPr>
        <w:t>2</w:t>
      </w:r>
      <w:r>
        <w:rPr>
          <w:rFonts w:cs="Cambria"/>
          <w:color w:val="1D1B11"/>
        </w:rPr>
        <w:t>O</w:t>
      </w:r>
      <w:r>
        <w:rPr>
          <w:rFonts w:cs="Cambria"/>
          <w:color w:val="1D1B11"/>
          <w:vertAlign w:val="subscript"/>
        </w:rPr>
        <w:t>(l)</w:t>
      </w:r>
      <w:r>
        <w:rPr>
          <w:rFonts w:cs="Cambria"/>
          <w:color w:val="1D1B11"/>
        </w:rPr>
        <w:t xml:space="preserve">  </w:t>
      </w:r>
      <w:r w:rsidRPr="00084AD5">
        <w:rPr>
          <w:rFonts w:cs="Cambria"/>
          <w:color w:val="1D1B11"/>
        </w:rPr>
        <w:sym w:font="Wingdings" w:char="F0E0"/>
      </w:r>
      <w:r>
        <w:rPr>
          <w:rFonts w:cs="Cambria"/>
          <w:color w:val="1D1B11"/>
        </w:rPr>
        <w:t xml:space="preserve"> SO</w:t>
      </w:r>
      <w:r>
        <w:rPr>
          <w:rFonts w:cs="Cambria"/>
          <w:color w:val="1D1B11"/>
          <w:vertAlign w:val="subscript"/>
        </w:rPr>
        <w:t>4</w:t>
      </w:r>
      <w:r>
        <w:rPr>
          <w:rFonts w:cs="Cambria"/>
          <w:color w:val="1D1B11"/>
          <w:vertAlign w:val="superscript"/>
        </w:rPr>
        <w:t>2-</w:t>
      </w:r>
      <w:r>
        <w:rPr>
          <w:rFonts w:cs="Cambria"/>
          <w:color w:val="1D1B11"/>
          <w:vertAlign w:val="subscript"/>
        </w:rPr>
        <w:t>(</w:t>
      </w:r>
      <w:proofErr w:type="spellStart"/>
      <w:r>
        <w:rPr>
          <w:rFonts w:cs="Cambria"/>
          <w:color w:val="1D1B11"/>
          <w:vertAlign w:val="subscript"/>
        </w:rPr>
        <w:t>aq</w:t>
      </w:r>
      <w:proofErr w:type="spellEnd"/>
      <w:r>
        <w:rPr>
          <w:rFonts w:cs="Cambria"/>
          <w:color w:val="1D1B11"/>
          <w:vertAlign w:val="subscript"/>
        </w:rPr>
        <w:t>)</w:t>
      </w:r>
      <w:r>
        <w:rPr>
          <w:rFonts w:cs="Cambria"/>
          <w:color w:val="1D1B11"/>
        </w:rPr>
        <w:t xml:space="preserve"> + 2 I</w:t>
      </w:r>
      <w:r>
        <w:rPr>
          <w:rFonts w:cs="Cambria"/>
          <w:color w:val="1D1B11"/>
          <w:vertAlign w:val="superscript"/>
        </w:rPr>
        <w:t>-</w:t>
      </w:r>
      <w:r>
        <w:rPr>
          <w:rFonts w:cs="Cambria"/>
          <w:color w:val="1D1B11"/>
          <w:vertAlign w:val="subscript"/>
        </w:rPr>
        <w:t>(</w:t>
      </w:r>
      <w:proofErr w:type="spellStart"/>
      <w:r>
        <w:rPr>
          <w:rFonts w:cs="Cambria"/>
          <w:color w:val="1D1B11"/>
          <w:vertAlign w:val="subscript"/>
        </w:rPr>
        <w:t>aq</w:t>
      </w:r>
      <w:proofErr w:type="spellEnd"/>
      <w:r>
        <w:rPr>
          <w:rFonts w:cs="Cambria"/>
          <w:color w:val="1D1B11"/>
          <w:vertAlign w:val="subscript"/>
        </w:rPr>
        <w:t>)</w:t>
      </w:r>
      <w:r>
        <w:rPr>
          <w:rFonts w:cs="Cambria"/>
          <w:color w:val="1D1B11"/>
        </w:rPr>
        <w:t xml:space="preserve"> + 4 H</w:t>
      </w:r>
      <w:r>
        <w:rPr>
          <w:rFonts w:cs="Cambria"/>
          <w:color w:val="1D1B11"/>
          <w:vertAlign w:val="superscript"/>
        </w:rPr>
        <w:t>+</w:t>
      </w:r>
      <w:r>
        <w:rPr>
          <w:rFonts w:cs="Cambria"/>
          <w:color w:val="1D1B11"/>
          <w:vertAlign w:val="subscript"/>
        </w:rPr>
        <w:t>(</w:t>
      </w:r>
      <w:proofErr w:type="spellStart"/>
      <w:r>
        <w:rPr>
          <w:rFonts w:cs="Cambria"/>
          <w:color w:val="1D1B11"/>
          <w:vertAlign w:val="subscript"/>
        </w:rPr>
        <w:t>aq</w:t>
      </w:r>
      <w:proofErr w:type="spellEnd"/>
      <w:r>
        <w:rPr>
          <w:rFonts w:cs="Cambria"/>
          <w:color w:val="1D1B11"/>
          <w:vertAlign w:val="subscript"/>
        </w:rPr>
        <w:t>)</w:t>
      </w:r>
    </w:p>
    <w:p w:rsidR="007A1398" w:rsidRDefault="007A1398" w:rsidP="007A1398">
      <w:pPr>
        <w:tabs>
          <w:tab w:val="left" w:pos="1701"/>
          <w:tab w:val="left" w:pos="1985"/>
        </w:tabs>
        <w:autoSpaceDE w:val="0"/>
        <w:autoSpaceDN w:val="0"/>
        <w:adjustRightInd w:val="0"/>
        <w:ind w:left="1980" w:hanging="1980"/>
        <w:rPr>
          <w:rFonts w:cs="Cambria"/>
          <w:color w:val="1D1B11"/>
        </w:rPr>
      </w:pPr>
      <w:r>
        <w:rPr>
          <w:rFonts w:cs="Cambria"/>
          <w:color w:val="1D1B11"/>
        </w:rPr>
        <w:t>Literatur:</w:t>
      </w:r>
      <w:r>
        <w:rPr>
          <w:rFonts w:cs="Cambria"/>
          <w:color w:val="1D1B11"/>
        </w:rPr>
        <w:tab/>
      </w:r>
      <w:r>
        <w:rPr>
          <w:rFonts w:cs="Cambria"/>
          <w:color w:val="1D1B11"/>
        </w:rPr>
        <w:tab/>
        <w:t xml:space="preserve">D. </w:t>
      </w:r>
      <w:proofErr w:type="spellStart"/>
      <w:r>
        <w:rPr>
          <w:rFonts w:cs="Cambria"/>
          <w:color w:val="1D1B11"/>
        </w:rPr>
        <w:t>Wiechoczek</w:t>
      </w:r>
      <w:proofErr w:type="spellEnd"/>
      <w:r>
        <w:rPr>
          <w:rFonts w:cs="Cambria"/>
          <w:color w:val="1D1B11"/>
        </w:rPr>
        <w:t xml:space="preserve">, </w:t>
      </w:r>
      <w:hyperlink r:id="rId15" w:history="1">
        <w:r>
          <w:rPr>
            <w:rFonts w:cs="Cambria"/>
            <w:color w:val="auto"/>
          </w:rPr>
          <w:t>http://www.chemieunterricht.de/dc2/tip/05_09.htm</w:t>
        </w:r>
      </w:hyperlink>
      <w:r>
        <w:rPr>
          <w:rFonts w:cs="Cambria"/>
          <w:color w:val="1D1B11"/>
        </w:rPr>
        <w:t>, 28.04.2009, (Zuletzt abgerufen am 16.8.2015 um 20:41 Uhr).</w:t>
      </w:r>
    </w:p>
    <w:p w:rsidR="007A1398" w:rsidRDefault="007A1398" w:rsidP="007A1398">
      <w:pPr>
        <w:tabs>
          <w:tab w:val="left" w:pos="1701"/>
          <w:tab w:val="left" w:pos="1985"/>
        </w:tabs>
        <w:autoSpaceDE w:val="0"/>
        <w:autoSpaceDN w:val="0"/>
        <w:adjustRightInd w:val="0"/>
        <w:ind w:left="1980" w:hanging="1980"/>
        <w:rPr>
          <w:rFonts w:cs="Cambria"/>
          <w:color w:val="1D1B11"/>
        </w:rPr>
      </w:pPr>
      <w:r>
        <w:rPr>
          <w:rFonts w:cs="Cambria"/>
          <w:color w:val="1D1B11"/>
        </w:rPr>
        <w:tab/>
      </w:r>
      <w:r>
        <w:rPr>
          <w:rFonts w:cs="Cambria"/>
          <w:color w:val="1D1B11"/>
        </w:rPr>
        <w:tab/>
        <w:t xml:space="preserve">D. </w:t>
      </w:r>
      <w:proofErr w:type="spellStart"/>
      <w:r>
        <w:rPr>
          <w:rFonts w:cs="Cambria"/>
          <w:color w:val="1D1B11"/>
        </w:rPr>
        <w:t>Wiechoczek</w:t>
      </w:r>
      <w:proofErr w:type="spellEnd"/>
      <w:r>
        <w:rPr>
          <w:rFonts w:cs="Cambria"/>
          <w:color w:val="1D1B11"/>
        </w:rPr>
        <w:t xml:space="preserve">, </w:t>
      </w:r>
      <w:hyperlink r:id="rId16" w:history="1">
        <w:r>
          <w:rPr>
            <w:rFonts w:cs="Cambria"/>
            <w:color w:val="auto"/>
          </w:rPr>
          <w:t>http://www.chemieunterricht.de/dc2/haus/v135.htm</w:t>
        </w:r>
      </w:hyperlink>
      <w:r>
        <w:rPr>
          <w:rFonts w:cs="Cambria"/>
          <w:color w:val="1D1B11"/>
        </w:rPr>
        <w:t>, 08.01.1999, (Zuletzt abgerufen am 16.8.2015 um 20:41 Uhr).</w:t>
      </w:r>
    </w:p>
    <w:p w:rsidR="007A1398" w:rsidRDefault="007A1398" w:rsidP="007A1398">
      <w:pPr>
        <w:tabs>
          <w:tab w:val="left" w:pos="1701"/>
          <w:tab w:val="left" w:pos="1985"/>
        </w:tabs>
        <w:autoSpaceDE w:val="0"/>
        <w:autoSpaceDN w:val="0"/>
        <w:adjustRightInd w:val="0"/>
        <w:ind w:left="1980" w:hanging="1980"/>
        <w:rPr>
          <w:rFonts w:cs="Cambria"/>
          <w:color w:val="1D1B11"/>
        </w:rPr>
      </w:pPr>
      <w:r>
        <w:rPr>
          <w:rFonts w:cs="Cambria"/>
          <w:color w:val="1D1B11"/>
        </w:rPr>
        <w:t xml:space="preserve">Entsorgung: </w:t>
      </w:r>
      <w:r>
        <w:rPr>
          <w:rFonts w:cs="Cambria"/>
          <w:color w:val="1D1B11"/>
        </w:rPr>
        <w:tab/>
      </w:r>
      <w:r>
        <w:rPr>
          <w:rFonts w:cs="Cambria"/>
          <w:color w:val="1D1B11"/>
        </w:rPr>
        <w:tab/>
        <w:t xml:space="preserve">Das Iod-Stärke-Papier kann in den Feststoffabfall gegeben werden, der Wein in den Abfluss, ebenso wie das Aprikosenwasser. Die Aprikosen gehören in den Restmüll. </w:t>
      </w:r>
    </w:p>
    <w:p w:rsidR="007A1398" w:rsidRDefault="007A1398" w:rsidP="007A1398">
      <w:pPr>
        <w:tabs>
          <w:tab w:val="left" w:pos="1701"/>
          <w:tab w:val="left" w:pos="1985"/>
        </w:tabs>
        <w:ind w:left="1980" w:hanging="1980"/>
      </w:pPr>
    </w:p>
    <w:p w:rsidR="007A1398" w:rsidRPr="00E65277" w:rsidRDefault="00FC6D7A" w:rsidP="007A1398">
      <w:pPr>
        <w:tabs>
          <w:tab w:val="left" w:pos="1701"/>
          <w:tab w:val="left" w:pos="1985"/>
        </w:tabs>
        <w:ind w:left="1980" w:hanging="1980"/>
        <w:rPr>
          <w:rFonts w:eastAsiaTheme="minorEastAsia"/>
        </w:rPr>
      </w:pPr>
      <w:r w:rsidRPr="00FC6D7A">
        <w:pict>
          <v:shape id="_x0000_s1028" type="#_x0000_t202" style="width:462.45pt;height:168pt;mso-position-horizontal-relative:char;mso-position-vertical-relative:line;mso-width-relative:margin;mso-height-relative:margin" fillcolor="white [3201]" strokecolor="#c0504d [3205]" strokeweight="1pt">
            <v:stroke dashstyle="dash"/>
            <v:shadow color="#868686"/>
            <v:textbox style="mso-next-textbox:#_x0000_s1028">
              <w:txbxContent>
                <w:p w:rsidR="007A1398" w:rsidRDefault="007A1398" w:rsidP="007A1398">
                  <w:pPr>
                    <w:tabs>
                      <w:tab w:val="left" w:pos="1701"/>
                      <w:tab w:val="left" w:pos="1985"/>
                    </w:tabs>
                    <w:autoSpaceDE w:val="0"/>
                    <w:autoSpaceDN w:val="0"/>
                    <w:adjustRightInd w:val="0"/>
                    <w:rPr>
                      <w:rFonts w:cs="Cambria"/>
                      <w:color w:val="1F497D"/>
                    </w:rPr>
                  </w:pPr>
                  <w:r>
                    <w:rPr>
                      <w:rFonts w:cs="Cambria"/>
                      <w:color w:val="1F497D"/>
                    </w:rPr>
                    <w:t xml:space="preserve">Alternativ können, wenn kein Iod-Stärke-Papier vorhanden ist, einige Tropfen </w:t>
                  </w:r>
                  <w:proofErr w:type="spellStart"/>
                  <w:r>
                    <w:rPr>
                      <w:rFonts w:cs="Cambria"/>
                      <w:color w:val="1F497D"/>
                    </w:rPr>
                    <w:t>Lugolsche</w:t>
                  </w:r>
                  <w:proofErr w:type="spellEnd"/>
                  <w:r>
                    <w:rPr>
                      <w:rFonts w:cs="Cambria"/>
                      <w:color w:val="1F497D"/>
                    </w:rPr>
                    <w:t xml:space="preserve"> Lösung in die </w:t>
                  </w:r>
                  <w:proofErr w:type="spellStart"/>
                  <w:r>
                    <w:rPr>
                      <w:rFonts w:cs="Cambria"/>
                      <w:color w:val="1F497D"/>
                    </w:rPr>
                    <w:t>Erlenmeyerkolben</w:t>
                  </w:r>
                  <w:proofErr w:type="spellEnd"/>
                  <w:r>
                    <w:rPr>
                      <w:rFonts w:cs="Cambria"/>
                      <w:color w:val="1F497D"/>
                    </w:rPr>
                    <w:t xml:space="preserve"> gegeben werden. </w:t>
                  </w:r>
                </w:p>
                <w:p w:rsidR="007A1398" w:rsidRDefault="007A1398" w:rsidP="007A1398">
                  <w:pPr>
                    <w:tabs>
                      <w:tab w:val="left" w:pos="1701"/>
                      <w:tab w:val="left" w:pos="1985"/>
                    </w:tabs>
                    <w:autoSpaceDE w:val="0"/>
                    <w:autoSpaceDN w:val="0"/>
                    <w:adjustRightInd w:val="0"/>
                    <w:rPr>
                      <w:rFonts w:cs="Cambria"/>
                      <w:color w:val="1F497D"/>
                    </w:rPr>
                  </w:pPr>
                  <w:r>
                    <w:rPr>
                      <w:rFonts w:cs="Cambria"/>
                      <w:color w:val="1F497D"/>
                    </w:rPr>
                    <w:t xml:space="preserve">Der Versuch dient vor allem dazu, dass die </w:t>
                  </w:r>
                  <w:proofErr w:type="spellStart"/>
                  <w:r>
                    <w:rPr>
                      <w:rFonts w:cs="Cambria"/>
                      <w:color w:val="1F497D"/>
                    </w:rPr>
                    <w:t>SuS</w:t>
                  </w:r>
                  <w:proofErr w:type="spellEnd"/>
                  <w:r>
                    <w:rPr>
                      <w:rFonts w:cs="Cambria"/>
                      <w:color w:val="1F497D"/>
                    </w:rPr>
                    <w:t xml:space="preserve"> erkennen, dass Chemie sie im Alltag umgibt. Das Experiment könnte als Transferaufgabe dienen, wenn die </w:t>
                  </w:r>
                  <w:proofErr w:type="spellStart"/>
                  <w:r>
                    <w:rPr>
                      <w:rFonts w:cs="Cambria"/>
                      <w:color w:val="1F497D"/>
                    </w:rPr>
                    <w:t>SuS</w:t>
                  </w:r>
                  <w:proofErr w:type="spellEnd"/>
                  <w:r>
                    <w:rPr>
                      <w:rFonts w:cs="Cambria"/>
                      <w:color w:val="1F497D"/>
                    </w:rPr>
                    <w:t xml:space="preserve"> schon die bleichende Wirkung von SO</w:t>
                  </w:r>
                  <w:r>
                    <w:rPr>
                      <w:rFonts w:cs="Cambria"/>
                      <w:color w:val="1F497D"/>
                      <w:vertAlign w:val="subscript"/>
                    </w:rPr>
                    <w:t>2</w:t>
                  </w:r>
                  <w:r>
                    <w:rPr>
                      <w:rFonts w:cs="Cambria"/>
                      <w:color w:val="1F497D"/>
                    </w:rPr>
                    <w:t xml:space="preserve"> kennen gelernt haben. Auch kann die Notwendigkeit des Schwefels bei der Weinherstellung (Konservierung und </w:t>
                  </w:r>
                  <w:proofErr w:type="spellStart"/>
                  <w:r>
                    <w:rPr>
                      <w:rFonts w:cs="Cambria"/>
                      <w:color w:val="1F497D"/>
                    </w:rPr>
                    <w:t>Verstoffwechselung</w:t>
                  </w:r>
                  <w:proofErr w:type="spellEnd"/>
                  <w:r>
                    <w:rPr>
                      <w:rFonts w:cs="Cambria"/>
                      <w:color w:val="1F497D"/>
                    </w:rPr>
                    <w:t xml:space="preserve"> von Schwefeloxiden im </w:t>
                  </w:r>
                  <w:proofErr w:type="spellStart"/>
                  <w:r>
                    <w:rPr>
                      <w:rFonts w:cs="Cambria"/>
                      <w:color w:val="1F497D"/>
                    </w:rPr>
                    <w:t>aneroben</w:t>
                  </w:r>
                  <w:proofErr w:type="spellEnd"/>
                  <w:r>
                    <w:rPr>
                      <w:rFonts w:cs="Cambria"/>
                      <w:color w:val="1F497D"/>
                    </w:rPr>
                    <w:t xml:space="preserve"> Milieu) als fachübergreifender Unterricht mit dem Fach Biologie geplant werden. Es kann die Notwenigkeit von Schwefeldioxid bei der Weinproduktion verdeutlichen (anaerobe Gärung).  </w:t>
                  </w:r>
                </w:p>
                <w:p w:rsidR="007A1398" w:rsidRPr="00E65277" w:rsidRDefault="007A1398" w:rsidP="007A1398"/>
              </w:txbxContent>
            </v:textbox>
            <w10:wrap type="none"/>
            <w10:anchorlock/>
          </v:shape>
        </w:pict>
      </w:r>
    </w:p>
    <w:p w:rsidR="007A1398" w:rsidRPr="00E65277" w:rsidRDefault="007A1398" w:rsidP="007A1398"/>
    <w:p w:rsidR="00B93CB0" w:rsidRDefault="00B93CB0"/>
    <w:sectPr w:rsidR="00B93CB0" w:rsidSect="00B93CB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characterSpacingControl w:val="doNotCompress"/>
  <w:compat/>
  <w:rsids>
    <w:rsidRoot w:val="007A1398"/>
    <w:rsid w:val="0000249D"/>
    <w:rsid w:val="000109E3"/>
    <w:rsid w:val="00011AC0"/>
    <w:rsid w:val="0001418F"/>
    <w:rsid w:val="00016490"/>
    <w:rsid w:val="000202FB"/>
    <w:rsid w:val="00044AD5"/>
    <w:rsid w:val="00047287"/>
    <w:rsid w:val="00051DB1"/>
    <w:rsid w:val="000712EA"/>
    <w:rsid w:val="00071664"/>
    <w:rsid w:val="00071F21"/>
    <w:rsid w:val="000B3409"/>
    <w:rsid w:val="000B5A53"/>
    <w:rsid w:val="000B7B81"/>
    <w:rsid w:val="000C69D2"/>
    <w:rsid w:val="000E56BA"/>
    <w:rsid w:val="000F0499"/>
    <w:rsid w:val="000F5F36"/>
    <w:rsid w:val="00104F91"/>
    <w:rsid w:val="00105CD3"/>
    <w:rsid w:val="001135ED"/>
    <w:rsid w:val="00114B5F"/>
    <w:rsid w:val="0011700F"/>
    <w:rsid w:val="00117DF5"/>
    <w:rsid w:val="00124004"/>
    <w:rsid w:val="00125FA3"/>
    <w:rsid w:val="00133E86"/>
    <w:rsid w:val="0013665F"/>
    <w:rsid w:val="00141789"/>
    <w:rsid w:val="00153566"/>
    <w:rsid w:val="00160B0B"/>
    <w:rsid w:val="00162FC5"/>
    <w:rsid w:val="00163AB4"/>
    <w:rsid w:val="00163BCB"/>
    <w:rsid w:val="00176222"/>
    <w:rsid w:val="00180232"/>
    <w:rsid w:val="00181C91"/>
    <w:rsid w:val="00191E34"/>
    <w:rsid w:val="001934D1"/>
    <w:rsid w:val="00194426"/>
    <w:rsid w:val="001A5655"/>
    <w:rsid w:val="001C2C46"/>
    <w:rsid w:val="001C306B"/>
    <w:rsid w:val="001C5C03"/>
    <w:rsid w:val="001D7831"/>
    <w:rsid w:val="001E691A"/>
    <w:rsid w:val="00202A5F"/>
    <w:rsid w:val="002058D0"/>
    <w:rsid w:val="0020742B"/>
    <w:rsid w:val="00217EFE"/>
    <w:rsid w:val="00222B6A"/>
    <w:rsid w:val="00242A32"/>
    <w:rsid w:val="00257F3F"/>
    <w:rsid w:val="002606BA"/>
    <w:rsid w:val="002608F0"/>
    <w:rsid w:val="002726D5"/>
    <w:rsid w:val="00294AEC"/>
    <w:rsid w:val="002A4424"/>
    <w:rsid w:val="002B2937"/>
    <w:rsid w:val="002E1486"/>
    <w:rsid w:val="002E2AA5"/>
    <w:rsid w:val="002E2B43"/>
    <w:rsid w:val="002E47B4"/>
    <w:rsid w:val="00300EE4"/>
    <w:rsid w:val="0030304D"/>
    <w:rsid w:val="00303685"/>
    <w:rsid w:val="0030793D"/>
    <w:rsid w:val="003109AD"/>
    <w:rsid w:val="00325AC9"/>
    <w:rsid w:val="003359AC"/>
    <w:rsid w:val="00347497"/>
    <w:rsid w:val="003477BB"/>
    <w:rsid w:val="003529F1"/>
    <w:rsid w:val="003547D3"/>
    <w:rsid w:val="00365E87"/>
    <w:rsid w:val="00367980"/>
    <w:rsid w:val="00371189"/>
    <w:rsid w:val="00375369"/>
    <w:rsid w:val="00392377"/>
    <w:rsid w:val="003A389B"/>
    <w:rsid w:val="003C06F1"/>
    <w:rsid w:val="003D6196"/>
    <w:rsid w:val="003E68DE"/>
    <w:rsid w:val="003F037D"/>
    <w:rsid w:val="003F09D6"/>
    <w:rsid w:val="003F286E"/>
    <w:rsid w:val="003F63D0"/>
    <w:rsid w:val="003F6C8C"/>
    <w:rsid w:val="00401647"/>
    <w:rsid w:val="00404632"/>
    <w:rsid w:val="004077FC"/>
    <w:rsid w:val="0041546D"/>
    <w:rsid w:val="00416CCC"/>
    <w:rsid w:val="00421A97"/>
    <w:rsid w:val="004231EB"/>
    <w:rsid w:val="004307D5"/>
    <w:rsid w:val="00435FFF"/>
    <w:rsid w:val="00443A7A"/>
    <w:rsid w:val="00474566"/>
    <w:rsid w:val="00480B4F"/>
    <w:rsid w:val="004871BC"/>
    <w:rsid w:val="00491914"/>
    <w:rsid w:val="00491CA9"/>
    <w:rsid w:val="00494EDF"/>
    <w:rsid w:val="004A639D"/>
    <w:rsid w:val="004A6FB9"/>
    <w:rsid w:val="004B11F5"/>
    <w:rsid w:val="004B634C"/>
    <w:rsid w:val="004C420A"/>
    <w:rsid w:val="004D1DFD"/>
    <w:rsid w:val="004D3AD7"/>
    <w:rsid w:val="004F307E"/>
    <w:rsid w:val="004F33B7"/>
    <w:rsid w:val="004F5232"/>
    <w:rsid w:val="00505972"/>
    <w:rsid w:val="005127E5"/>
    <w:rsid w:val="00514176"/>
    <w:rsid w:val="005200CA"/>
    <w:rsid w:val="00522BE5"/>
    <w:rsid w:val="0052786C"/>
    <w:rsid w:val="005328C7"/>
    <w:rsid w:val="00541FCB"/>
    <w:rsid w:val="00543F09"/>
    <w:rsid w:val="005477A9"/>
    <w:rsid w:val="00552684"/>
    <w:rsid w:val="005562AF"/>
    <w:rsid w:val="0056023C"/>
    <w:rsid w:val="0056041D"/>
    <w:rsid w:val="00566BB0"/>
    <w:rsid w:val="00573B3A"/>
    <w:rsid w:val="0057645C"/>
    <w:rsid w:val="0058161A"/>
    <w:rsid w:val="005A11B6"/>
    <w:rsid w:val="005A39E9"/>
    <w:rsid w:val="005A4DC9"/>
    <w:rsid w:val="005A6CD8"/>
    <w:rsid w:val="005A757C"/>
    <w:rsid w:val="005C0B65"/>
    <w:rsid w:val="005C62A9"/>
    <w:rsid w:val="005C7874"/>
    <w:rsid w:val="005D3948"/>
    <w:rsid w:val="005E4298"/>
    <w:rsid w:val="005E6384"/>
    <w:rsid w:val="005F405F"/>
    <w:rsid w:val="0060248F"/>
    <w:rsid w:val="00602FF1"/>
    <w:rsid w:val="00604E91"/>
    <w:rsid w:val="00606281"/>
    <w:rsid w:val="00617A27"/>
    <w:rsid w:val="006252B7"/>
    <w:rsid w:val="006333A1"/>
    <w:rsid w:val="006419C3"/>
    <w:rsid w:val="00655AFC"/>
    <w:rsid w:val="0065724C"/>
    <w:rsid w:val="006666D3"/>
    <w:rsid w:val="00673E1C"/>
    <w:rsid w:val="00693D98"/>
    <w:rsid w:val="0069652D"/>
    <w:rsid w:val="006B2545"/>
    <w:rsid w:val="006C05EC"/>
    <w:rsid w:val="006D0F1B"/>
    <w:rsid w:val="006D4B22"/>
    <w:rsid w:val="006F1F6D"/>
    <w:rsid w:val="006F20E3"/>
    <w:rsid w:val="00704F07"/>
    <w:rsid w:val="00721F86"/>
    <w:rsid w:val="007322EF"/>
    <w:rsid w:val="0074467C"/>
    <w:rsid w:val="00745CC1"/>
    <w:rsid w:val="00756BA1"/>
    <w:rsid w:val="00770B3D"/>
    <w:rsid w:val="00792920"/>
    <w:rsid w:val="007A1398"/>
    <w:rsid w:val="007A2A42"/>
    <w:rsid w:val="007B3B68"/>
    <w:rsid w:val="007B570C"/>
    <w:rsid w:val="007B6E96"/>
    <w:rsid w:val="007C0024"/>
    <w:rsid w:val="007C13F5"/>
    <w:rsid w:val="007C4CF8"/>
    <w:rsid w:val="007C5F72"/>
    <w:rsid w:val="007D5561"/>
    <w:rsid w:val="007D7553"/>
    <w:rsid w:val="007E0E3B"/>
    <w:rsid w:val="007E685C"/>
    <w:rsid w:val="008015A4"/>
    <w:rsid w:val="0080204D"/>
    <w:rsid w:val="008021A0"/>
    <w:rsid w:val="00820583"/>
    <w:rsid w:val="0082324C"/>
    <w:rsid w:val="00825682"/>
    <w:rsid w:val="00846D92"/>
    <w:rsid w:val="008505B9"/>
    <w:rsid w:val="00855AFD"/>
    <w:rsid w:val="008575D8"/>
    <w:rsid w:val="00874B03"/>
    <w:rsid w:val="008937B4"/>
    <w:rsid w:val="008956F5"/>
    <w:rsid w:val="008977ED"/>
    <w:rsid w:val="008B3059"/>
    <w:rsid w:val="008C1355"/>
    <w:rsid w:val="008C23FE"/>
    <w:rsid w:val="008D176C"/>
    <w:rsid w:val="008D6B6B"/>
    <w:rsid w:val="008E6454"/>
    <w:rsid w:val="009005D5"/>
    <w:rsid w:val="009021DB"/>
    <w:rsid w:val="0090331C"/>
    <w:rsid w:val="0090371D"/>
    <w:rsid w:val="00906220"/>
    <w:rsid w:val="0091654B"/>
    <w:rsid w:val="009425A1"/>
    <w:rsid w:val="00943E92"/>
    <w:rsid w:val="00944CFB"/>
    <w:rsid w:val="00946990"/>
    <w:rsid w:val="0095149D"/>
    <w:rsid w:val="0095339A"/>
    <w:rsid w:val="00953AF6"/>
    <w:rsid w:val="00954F58"/>
    <w:rsid w:val="00965251"/>
    <w:rsid w:val="00966A56"/>
    <w:rsid w:val="00971360"/>
    <w:rsid w:val="00972377"/>
    <w:rsid w:val="0097352D"/>
    <w:rsid w:val="0097394A"/>
    <w:rsid w:val="00975E0F"/>
    <w:rsid w:val="0098029A"/>
    <w:rsid w:val="00980569"/>
    <w:rsid w:val="00980A79"/>
    <w:rsid w:val="00980D94"/>
    <w:rsid w:val="00984BD9"/>
    <w:rsid w:val="009914DD"/>
    <w:rsid w:val="00995C6E"/>
    <w:rsid w:val="009B5CAB"/>
    <w:rsid w:val="009C3D3B"/>
    <w:rsid w:val="009C45B3"/>
    <w:rsid w:val="009C63F9"/>
    <w:rsid w:val="009D1D4C"/>
    <w:rsid w:val="009E2992"/>
    <w:rsid w:val="009E30C6"/>
    <w:rsid w:val="009E3BD8"/>
    <w:rsid w:val="009E6B32"/>
    <w:rsid w:val="009F3FDC"/>
    <w:rsid w:val="009F51CA"/>
    <w:rsid w:val="00A0110A"/>
    <w:rsid w:val="00A12FAE"/>
    <w:rsid w:val="00A21DBB"/>
    <w:rsid w:val="00A234B1"/>
    <w:rsid w:val="00A55E01"/>
    <w:rsid w:val="00A60861"/>
    <w:rsid w:val="00A63D8C"/>
    <w:rsid w:val="00A72FD7"/>
    <w:rsid w:val="00A75665"/>
    <w:rsid w:val="00A862C4"/>
    <w:rsid w:val="00A92618"/>
    <w:rsid w:val="00A95AA4"/>
    <w:rsid w:val="00AA3AF8"/>
    <w:rsid w:val="00AA4024"/>
    <w:rsid w:val="00AA66E0"/>
    <w:rsid w:val="00AA6D1D"/>
    <w:rsid w:val="00AB5092"/>
    <w:rsid w:val="00AC19E8"/>
    <w:rsid w:val="00AC397C"/>
    <w:rsid w:val="00AE54FF"/>
    <w:rsid w:val="00AF2BD7"/>
    <w:rsid w:val="00AF58D1"/>
    <w:rsid w:val="00B0136C"/>
    <w:rsid w:val="00B04E26"/>
    <w:rsid w:val="00B05452"/>
    <w:rsid w:val="00B05CDB"/>
    <w:rsid w:val="00B1226C"/>
    <w:rsid w:val="00B1311B"/>
    <w:rsid w:val="00B1505F"/>
    <w:rsid w:val="00B15D57"/>
    <w:rsid w:val="00B25E3D"/>
    <w:rsid w:val="00B351FF"/>
    <w:rsid w:val="00B43888"/>
    <w:rsid w:val="00B47816"/>
    <w:rsid w:val="00B566AD"/>
    <w:rsid w:val="00B6050E"/>
    <w:rsid w:val="00B61774"/>
    <w:rsid w:val="00B62CD1"/>
    <w:rsid w:val="00B653AF"/>
    <w:rsid w:val="00B654C5"/>
    <w:rsid w:val="00B73CB6"/>
    <w:rsid w:val="00B7579B"/>
    <w:rsid w:val="00B81161"/>
    <w:rsid w:val="00B93CB0"/>
    <w:rsid w:val="00B94727"/>
    <w:rsid w:val="00B97174"/>
    <w:rsid w:val="00BA2901"/>
    <w:rsid w:val="00BB3FD7"/>
    <w:rsid w:val="00BC18F5"/>
    <w:rsid w:val="00BD3022"/>
    <w:rsid w:val="00BD5E3A"/>
    <w:rsid w:val="00BD6AB2"/>
    <w:rsid w:val="00BD6B61"/>
    <w:rsid w:val="00BE2009"/>
    <w:rsid w:val="00BE31F4"/>
    <w:rsid w:val="00BE41E6"/>
    <w:rsid w:val="00BE5BA2"/>
    <w:rsid w:val="00BF08F1"/>
    <w:rsid w:val="00C00187"/>
    <w:rsid w:val="00C118B9"/>
    <w:rsid w:val="00C12450"/>
    <w:rsid w:val="00C13B17"/>
    <w:rsid w:val="00C14ED4"/>
    <w:rsid w:val="00C235C2"/>
    <w:rsid w:val="00C30743"/>
    <w:rsid w:val="00C40799"/>
    <w:rsid w:val="00C41822"/>
    <w:rsid w:val="00C45BD3"/>
    <w:rsid w:val="00C47453"/>
    <w:rsid w:val="00C52814"/>
    <w:rsid w:val="00C55B54"/>
    <w:rsid w:val="00C64ED0"/>
    <w:rsid w:val="00C6502D"/>
    <w:rsid w:val="00C6533A"/>
    <w:rsid w:val="00C93A84"/>
    <w:rsid w:val="00C9733C"/>
    <w:rsid w:val="00CA6B2B"/>
    <w:rsid w:val="00CB2F26"/>
    <w:rsid w:val="00CC30D9"/>
    <w:rsid w:val="00CC3820"/>
    <w:rsid w:val="00CC6AD5"/>
    <w:rsid w:val="00CD15FF"/>
    <w:rsid w:val="00CD5E2B"/>
    <w:rsid w:val="00CE632A"/>
    <w:rsid w:val="00CF6B08"/>
    <w:rsid w:val="00CF75F7"/>
    <w:rsid w:val="00D00B05"/>
    <w:rsid w:val="00D12B8C"/>
    <w:rsid w:val="00D13B63"/>
    <w:rsid w:val="00D15269"/>
    <w:rsid w:val="00D220DB"/>
    <w:rsid w:val="00D42583"/>
    <w:rsid w:val="00D476A5"/>
    <w:rsid w:val="00D53C0A"/>
    <w:rsid w:val="00D56536"/>
    <w:rsid w:val="00D5784D"/>
    <w:rsid w:val="00D67F81"/>
    <w:rsid w:val="00D74FC3"/>
    <w:rsid w:val="00D75471"/>
    <w:rsid w:val="00D81986"/>
    <w:rsid w:val="00D82354"/>
    <w:rsid w:val="00D82A97"/>
    <w:rsid w:val="00D867E1"/>
    <w:rsid w:val="00DA22D3"/>
    <w:rsid w:val="00DA4EC1"/>
    <w:rsid w:val="00DB4079"/>
    <w:rsid w:val="00DC7A1A"/>
    <w:rsid w:val="00DD575F"/>
    <w:rsid w:val="00DE1180"/>
    <w:rsid w:val="00DE2060"/>
    <w:rsid w:val="00DE3E4F"/>
    <w:rsid w:val="00DF2622"/>
    <w:rsid w:val="00DF61BF"/>
    <w:rsid w:val="00E00713"/>
    <w:rsid w:val="00E02C43"/>
    <w:rsid w:val="00E068D5"/>
    <w:rsid w:val="00E06DD6"/>
    <w:rsid w:val="00E07A6D"/>
    <w:rsid w:val="00E20680"/>
    <w:rsid w:val="00E36F4F"/>
    <w:rsid w:val="00E37971"/>
    <w:rsid w:val="00E527B8"/>
    <w:rsid w:val="00E73ED2"/>
    <w:rsid w:val="00E745BF"/>
    <w:rsid w:val="00E76980"/>
    <w:rsid w:val="00E81025"/>
    <w:rsid w:val="00E82ECF"/>
    <w:rsid w:val="00E83876"/>
    <w:rsid w:val="00E85ECB"/>
    <w:rsid w:val="00E921EC"/>
    <w:rsid w:val="00E924BC"/>
    <w:rsid w:val="00E979BD"/>
    <w:rsid w:val="00EA09BC"/>
    <w:rsid w:val="00EB4530"/>
    <w:rsid w:val="00EB6B83"/>
    <w:rsid w:val="00EC37CA"/>
    <w:rsid w:val="00EC4362"/>
    <w:rsid w:val="00EC6465"/>
    <w:rsid w:val="00ED0F88"/>
    <w:rsid w:val="00ED2EB3"/>
    <w:rsid w:val="00ED75C5"/>
    <w:rsid w:val="00EE4DEA"/>
    <w:rsid w:val="00EE6F4E"/>
    <w:rsid w:val="00F03626"/>
    <w:rsid w:val="00F075D5"/>
    <w:rsid w:val="00F221EA"/>
    <w:rsid w:val="00F23805"/>
    <w:rsid w:val="00F2569E"/>
    <w:rsid w:val="00F31D06"/>
    <w:rsid w:val="00F3379A"/>
    <w:rsid w:val="00F3550B"/>
    <w:rsid w:val="00F45080"/>
    <w:rsid w:val="00F50715"/>
    <w:rsid w:val="00F6181E"/>
    <w:rsid w:val="00F61C75"/>
    <w:rsid w:val="00F728D1"/>
    <w:rsid w:val="00F86555"/>
    <w:rsid w:val="00F8793A"/>
    <w:rsid w:val="00F91B80"/>
    <w:rsid w:val="00F95C1D"/>
    <w:rsid w:val="00FC2143"/>
    <w:rsid w:val="00FC4BC5"/>
    <w:rsid w:val="00FC54FD"/>
    <w:rsid w:val="00FC61B4"/>
    <w:rsid w:val="00FC6D7A"/>
    <w:rsid w:val="00FD7480"/>
    <w:rsid w:val="00FE16DB"/>
    <w:rsid w:val="00FE4D94"/>
    <w:rsid w:val="00FF00C6"/>
    <w:rsid w:val="00FF227A"/>
    <w:rsid w:val="00FF2421"/>
    <w:rsid w:val="00FF2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A1398"/>
    <w:pPr>
      <w:spacing w:line="360" w:lineRule="auto"/>
      <w:jc w:val="both"/>
    </w:pPr>
    <w:rPr>
      <w:rFonts w:ascii="Cambria" w:hAnsi="Cambria"/>
      <w:color w:val="1D1B11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A1398"/>
    <w:pPr>
      <w:keepNext/>
      <w:keepLines/>
      <w:numPr>
        <w:numId w:val="1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7A1398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7A1398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7A1398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A1398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A1398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A1398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A1398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A1398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A1398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A1398"/>
    <w:rPr>
      <w:rFonts w:asciiTheme="majorHAnsi" w:eastAsiaTheme="majorEastAsia" w:hAnsiTheme="majorHAnsi" w:cstheme="majorBidi"/>
      <w:b/>
      <w:bCs/>
      <w:color w:val="1D1B11" w:themeColor="background2" w:themeShade="1A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7A1398"/>
    <w:rPr>
      <w:rFonts w:asciiTheme="majorHAnsi" w:eastAsiaTheme="majorEastAsia" w:hAnsiTheme="majorHAnsi" w:cstheme="majorBidi"/>
      <w:b/>
      <w:bCs/>
      <w:i/>
      <w:color w:val="1D1B11" w:themeColor="background2" w:themeShade="1A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A139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A139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A139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A139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A139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A139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13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1398"/>
    <w:rPr>
      <w:rFonts w:ascii="Tahoma" w:hAnsi="Tahoma" w:cs="Tahoma"/>
      <w:color w:val="1D1B11" w:themeColor="background2" w:themeShade="1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chemieunterricht.de/dc2/haus/v135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www.chemieunterricht.de/dc2/tip/05_09.htm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1479</Characters>
  <Application>Microsoft Office Word</Application>
  <DocSecurity>0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noraa</dc:creator>
  <cp:lastModifiedBy>noraa</cp:lastModifiedBy>
  <cp:revision>2</cp:revision>
  <dcterms:created xsi:type="dcterms:W3CDTF">2014-08-26T21:10:00Z</dcterms:created>
  <dcterms:modified xsi:type="dcterms:W3CDTF">2014-08-27T11:52:00Z</dcterms:modified>
</cp:coreProperties>
</file>