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6D" w:rsidRDefault="000D466D" w:rsidP="000D466D">
      <w:pPr>
        <w:pStyle w:val="berschrift2"/>
      </w:pPr>
      <w:bookmarkStart w:id="0" w:name="_Toc396244538"/>
      <w:r>
        <w:rPr>
          <w:noProof/>
          <w:lang w:eastAsia="ja-JP"/>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32.2pt;width:462.45pt;height:8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Hx8Q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" fillcolor="white [3201]" strokecolor="#4bacc6 [3208]" strokeweight="1pt">
            <v:stroke dashstyle="dash"/>
            <v:shadow color="#868686"/>
            <v:textbox>
              <w:txbxContent>
                <w:p w:rsidR="000D466D" w:rsidRPr="00C221CF" w:rsidRDefault="000D466D" w:rsidP="000D466D">
                  <w:pPr>
                    <w:autoSpaceDE w:val="0"/>
                    <w:autoSpaceDN w:val="0"/>
                    <w:adjustRightInd w:val="0"/>
                    <w:spacing w:after="0"/>
                    <w:rPr>
                      <w:color w:val="1F497D" w:themeColor="text2"/>
                    </w:rPr>
                  </w:pPr>
                  <w:r w:rsidRPr="00C221CF">
                    <w:rPr>
                      <w:rFonts w:cs="Cambria"/>
                      <w:color w:val="auto"/>
                    </w:rPr>
                    <w:t xml:space="preserve">In diesem Versuch soll </w:t>
                  </w:r>
                  <w:r>
                    <w:rPr>
                      <w:rFonts w:cs="Cambria"/>
                      <w:color w:val="auto"/>
                    </w:rPr>
                    <w:t>die Menge an Phosphorsäure in Cola über die Leitfähigkeit der Lösung bestimmt werden. Zum Titrieren wird verdünnte Natronlauge verwendet. An Vorwissen sollte den SuS bekannt sein, wovon die Leitfähigkeit einer Lösung abhängt und wie Säuren und Basen miteinander reagieren.</w:t>
                  </w:r>
                </w:p>
              </w:txbxContent>
            </v:textbox>
            <w10:wrap type="square"/>
          </v:shape>
        </w:pict>
      </w:r>
      <w:r>
        <w:t>V 1 – Leitfähigkeitstitration von Cola</w:t>
      </w:r>
      <w:bookmarkEnd w:id="0"/>
    </w:p>
    <w:p w:rsidR="000D466D" w:rsidRDefault="000D466D" w:rsidP="000D466D"/>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0D466D" w:rsidRPr="009C5E28" w:rsidTr="001C4DC2">
        <w:tc>
          <w:tcPr>
            <w:tcW w:w="9322" w:type="dxa"/>
            <w:gridSpan w:val="11"/>
            <w:shd w:val="clear" w:color="auto" w:fill="4F81BD"/>
            <w:vAlign w:val="center"/>
          </w:tcPr>
          <w:p w:rsidR="000D466D" w:rsidRPr="009C5E28" w:rsidRDefault="000D466D" w:rsidP="001C4DC2">
            <w:pPr>
              <w:spacing w:after="0"/>
              <w:jc w:val="center"/>
              <w:rPr>
                <w:b/>
                <w:bCs/>
              </w:rPr>
            </w:pPr>
            <w:r w:rsidRPr="009C5E28">
              <w:rPr>
                <w:b/>
                <w:bCs/>
              </w:rPr>
              <w:t>Gefahrenstoffe</w:t>
            </w:r>
          </w:p>
        </w:tc>
      </w:tr>
      <w:tr w:rsidR="000D466D" w:rsidRPr="00015F9F" w:rsidTr="001C4DC2">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0D466D" w:rsidRPr="009C5E28" w:rsidRDefault="000D466D" w:rsidP="001C4DC2">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0D466D" w:rsidRPr="00F6629C" w:rsidRDefault="000D466D" w:rsidP="001C4DC2">
            <w:pPr>
              <w:spacing w:after="0"/>
              <w:jc w:val="center"/>
              <w:rPr>
                <w:lang w:val="en-US"/>
              </w:rPr>
            </w:pPr>
            <w:r w:rsidRPr="00F6629C">
              <w:rPr>
                <w:lang w:val="en-US"/>
              </w:rPr>
              <w:t xml:space="preserve">Cola (Phosphorsäure): H315, H290, </w:t>
            </w:r>
            <w:r>
              <w:rPr>
                <w:lang w:val="en-US"/>
              </w:rPr>
              <w:t>H319, P280, P301+P330+P331, P309+P310, P305+P351+P338</w:t>
            </w:r>
          </w:p>
        </w:tc>
        <w:tc>
          <w:tcPr>
            <w:tcW w:w="283" w:type="dxa"/>
            <w:tcBorders>
              <w:top w:val="single" w:sz="8" w:space="0" w:color="4F81BD"/>
              <w:bottom w:val="single" w:sz="8" w:space="0" w:color="4F81BD"/>
              <w:right w:val="single" w:sz="8" w:space="0" w:color="4F81BD"/>
            </w:tcBorders>
            <w:shd w:val="clear" w:color="auto" w:fill="auto"/>
            <w:vAlign w:val="center"/>
          </w:tcPr>
          <w:p w:rsidR="000D466D" w:rsidRPr="00F6629C" w:rsidRDefault="000D466D" w:rsidP="001C4DC2">
            <w:pPr>
              <w:spacing w:after="0"/>
              <w:jc w:val="center"/>
              <w:rPr>
                <w:lang w:val="en-US"/>
              </w:rPr>
            </w:pPr>
          </w:p>
        </w:tc>
      </w:tr>
      <w:tr w:rsidR="000D466D" w:rsidRPr="00015F9F" w:rsidTr="001C4DC2">
        <w:trPr>
          <w:trHeight w:val="536"/>
        </w:trPr>
        <w:tc>
          <w:tcPr>
            <w:tcW w:w="250" w:type="dxa"/>
            <w:shd w:val="clear" w:color="auto" w:fill="auto"/>
            <w:vAlign w:val="center"/>
          </w:tcPr>
          <w:p w:rsidR="000D466D" w:rsidRPr="00F6629C" w:rsidRDefault="000D466D" w:rsidP="001C4DC2">
            <w:pPr>
              <w:spacing w:after="0" w:line="276" w:lineRule="auto"/>
              <w:rPr>
                <w:bCs/>
                <w:sz w:val="20"/>
                <w:lang w:val="en-US"/>
              </w:rPr>
            </w:pPr>
          </w:p>
        </w:tc>
        <w:tc>
          <w:tcPr>
            <w:tcW w:w="8789" w:type="dxa"/>
            <w:gridSpan w:val="9"/>
            <w:tcBorders>
              <w:top w:val="single" w:sz="8" w:space="0" w:color="4F81BD"/>
            </w:tcBorders>
            <w:shd w:val="clear" w:color="auto" w:fill="auto"/>
            <w:vAlign w:val="center"/>
          </w:tcPr>
          <w:p w:rsidR="000D466D" w:rsidRPr="00140016" w:rsidRDefault="000D466D" w:rsidP="001C4DC2">
            <w:pPr>
              <w:pStyle w:val="Beschriftung"/>
              <w:spacing w:after="0"/>
              <w:jc w:val="center"/>
              <w:rPr>
                <w:bCs w:val="0"/>
                <w:sz w:val="22"/>
                <w:szCs w:val="22"/>
                <w:lang w:val="en-US"/>
              </w:rPr>
            </w:pPr>
            <w:r w:rsidRPr="00140016">
              <w:rPr>
                <w:bCs w:val="0"/>
                <w:sz w:val="22"/>
                <w:szCs w:val="22"/>
                <w:lang w:val="en-US"/>
              </w:rPr>
              <w:t xml:space="preserve">Natronlauge: H315, H319, P280, </w:t>
            </w:r>
            <w:r w:rsidRPr="00140016">
              <w:rPr>
                <w:sz w:val="22"/>
                <w:szCs w:val="22"/>
                <w:lang w:val="en-US"/>
              </w:rPr>
              <w:t>P301+P330+P331, P305+P351+P338</w:t>
            </w:r>
          </w:p>
        </w:tc>
        <w:tc>
          <w:tcPr>
            <w:tcW w:w="283" w:type="dxa"/>
            <w:shd w:val="clear" w:color="auto" w:fill="auto"/>
            <w:vAlign w:val="center"/>
          </w:tcPr>
          <w:p w:rsidR="000D466D" w:rsidRPr="00166F3E" w:rsidRDefault="000D466D" w:rsidP="001C4DC2">
            <w:pPr>
              <w:pStyle w:val="Beschriftung"/>
              <w:spacing w:after="0"/>
              <w:rPr>
                <w:sz w:val="20"/>
                <w:lang w:val="en-US"/>
              </w:rPr>
            </w:pPr>
          </w:p>
        </w:tc>
      </w:tr>
      <w:tr w:rsidR="000D466D" w:rsidRPr="009C5E28" w:rsidTr="001C4DC2">
        <w:tc>
          <w:tcPr>
            <w:tcW w:w="1009" w:type="dxa"/>
            <w:gridSpan w:val="2"/>
            <w:tcBorders>
              <w:top w:val="single" w:sz="8" w:space="0" w:color="4F81BD"/>
              <w:left w:val="single" w:sz="8" w:space="0" w:color="4F81BD"/>
              <w:bottom w:val="single" w:sz="8" w:space="0" w:color="4F81BD"/>
            </w:tcBorders>
            <w:shd w:val="clear" w:color="auto" w:fill="auto"/>
            <w:vAlign w:val="center"/>
          </w:tcPr>
          <w:p w:rsidR="000D466D" w:rsidRPr="009C5E28" w:rsidRDefault="000D466D" w:rsidP="001C4DC2">
            <w:pPr>
              <w:spacing w:after="0"/>
              <w:jc w:val="center"/>
              <w:rPr>
                <w:b/>
                <w:bCs/>
              </w:rPr>
            </w:pPr>
            <w:r w:rsidRPr="00811848">
              <w:rPr>
                <w:b/>
                <w:noProof/>
                <w:lang w:eastAsia="ja-JP"/>
              </w:rPr>
              <w:drawing>
                <wp:inline distT="0" distB="0" distL="0" distR="0">
                  <wp:extent cx="542925" cy="542925"/>
                  <wp:effectExtent l="19050" t="0" r="9525" b="0"/>
                  <wp:docPr id="46"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sidRPr="00811848">
              <w:rPr>
                <w:noProof/>
                <w:lang w:eastAsia="ja-JP"/>
              </w:rPr>
              <w:drawing>
                <wp:inline distT="0" distB="0" distL="0" distR="0">
                  <wp:extent cx="504190" cy="504190"/>
                  <wp:effectExtent l="0" t="0" r="0" b="0"/>
                  <wp:docPr id="4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Pr>
                <w:noProof/>
                <w:lang w:eastAsia="ja-JP"/>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Pr>
                <w:noProof/>
                <w:lang w:eastAsia="ja-JP"/>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sidRPr="00811848">
              <w:rPr>
                <w:noProof/>
                <w:lang w:eastAsia="ja-JP"/>
              </w:rPr>
              <w:drawing>
                <wp:inline distT="0" distB="0" distL="0" distR="0">
                  <wp:extent cx="504190" cy="504190"/>
                  <wp:effectExtent l="0" t="0" r="0" b="0"/>
                  <wp:docPr id="4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Pr>
                <w:noProof/>
                <w:lang w:eastAsia="ja-JP"/>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sidRPr="00811848">
              <w:rPr>
                <w:noProof/>
                <w:lang w:eastAsia="ja-JP"/>
              </w:rPr>
              <w:drawing>
                <wp:inline distT="0" distB="0" distL="0" distR="0">
                  <wp:extent cx="504190" cy="504190"/>
                  <wp:effectExtent l="0" t="0" r="0" b="0"/>
                  <wp:docPr id="4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466D" w:rsidRPr="009C5E28" w:rsidRDefault="000D466D" w:rsidP="001C4DC2">
            <w:pPr>
              <w:spacing w:after="0"/>
              <w:jc w:val="center"/>
            </w:pPr>
            <w:r>
              <w:rPr>
                <w:noProof/>
                <w:lang w:eastAsia="ja-JP"/>
              </w:rPr>
              <w:drawing>
                <wp:inline distT="0" distB="0" distL="0" distR="0">
                  <wp:extent cx="558140" cy="558140"/>
                  <wp:effectExtent l="19050" t="0" r="0" b="0"/>
                  <wp:docPr id="45" name="Bild 43"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66894" cy="566894"/>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0D466D" w:rsidRPr="009C5E28" w:rsidRDefault="000D466D" w:rsidP="001C4DC2">
            <w:pPr>
              <w:spacing w:after="0"/>
              <w:jc w:val="center"/>
            </w:pPr>
            <w:r>
              <w:rPr>
                <w:noProof/>
                <w:lang w:eastAsia="ja-JP"/>
              </w:rPr>
              <w:drawing>
                <wp:inline distT="0" distB="0" distL="0" distR="0">
                  <wp:extent cx="586592" cy="586592"/>
                  <wp:effectExtent l="19050" t="0" r="3958" b="0"/>
                  <wp:docPr id="50" name="Bild 44" descr="D:\Sicherung\Eigene Dateien\Uni\2. Master\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icherung\Eigene Dateien\Uni\2. Master\SVP\Piktogramme\Grau\Umweltgefahr.png"/>
                          <pic:cNvPicPr>
                            <a:picLocks noChangeAspect="1" noChangeArrowheads="1"/>
                          </pic:cNvPicPr>
                        </pic:nvPicPr>
                        <pic:blipFill>
                          <a:blip r:embed="rId13" cstate="print"/>
                          <a:srcRect/>
                          <a:stretch>
                            <a:fillRect/>
                          </a:stretch>
                        </pic:blipFill>
                        <pic:spPr bwMode="auto">
                          <a:xfrm>
                            <a:off x="0" y="0"/>
                            <a:ext cx="586299" cy="586299"/>
                          </a:xfrm>
                          <a:prstGeom prst="rect">
                            <a:avLst/>
                          </a:prstGeom>
                          <a:noFill/>
                          <a:ln w="9525">
                            <a:noFill/>
                            <a:miter lim="800000"/>
                            <a:headEnd/>
                            <a:tailEnd/>
                          </a:ln>
                        </pic:spPr>
                      </pic:pic>
                    </a:graphicData>
                  </a:graphic>
                </wp:inline>
              </w:drawing>
            </w:r>
          </w:p>
        </w:tc>
      </w:tr>
    </w:tbl>
    <w:p w:rsidR="000D466D" w:rsidRDefault="000D466D" w:rsidP="000D466D">
      <w:pPr>
        <w:tabs>
          <w:tab w:val="left" w:pos="1701"/>
          <w:tab w:val="left" w:pos="1985"/>
        </w:tabs>
        <w:ind w:left="1980" w:hanging="1980"/>
      </w:pPr>
    </w:p>
    <w:p w:rsidR="000D466D" w:rsidRPr="00C221CF" w:rsidRDefault="000D466D" w:rsidP="000D466D">
      <w:pPr>
        <w:tabs>
          <w:tab w:val="left" w:pos="1701"/>
          <w:tab w:val="left" w:pos="1985"/>
        </w:tabs>
        <w:ind w:left="1980" w:hanging="1980"/>
      </w:pPr>
      <w:r>
        <w:t xml:space="preserve">Materialien: </w:t>
      </w:r>
      <w:r>
        <w:tab/>
      </w:r>
      <w:r>
        <w:tab/>
      </w:r>
      <w:r>
        <w:rPr>
          <w:rFonts w:cs="Cambria"/>
          <w:color w:val="auto"/>
        </w:rPr>
        <w:t xml:space="preserve">Magnetrührer mit Heizplatte; </w:t>
      </w:r>
      <w:r w:rsidRPr="00DC5595">
        <w:t>5</w:t>
      </w:r>
      <w:r>
        <w:t>0 </w:t>
      </w:r>
      <w:r w:rsidRPr="00DC5595">
        <w:t>mL</w:t>
      </w:r>
      <w:r>
        <w:rPr>
          <w:rFonts w:cs="Cambria"/>
          <w:color w:val="auto"/>
        </w:rPr>
        <w:t xml:space="preserve"> Bürette; Becherglas (250 mL); Leitf</w:t>
      </w:r>
      <w:r>
        <w:rPr>
          <w:rFonts w:cs="Cambria"/>
          <w:color w:val="auto"/>
        </w:rPr>
        <w:t>ä</w:t>
      </w:r>
      <w:r>
        <w:rPr>
          <w:rFonts w:cs="Cambria"/>
          <w:color w:val="auto"/>
        </w:rPr>
        <w:t>higkeitsprüfer; Voltmeter</w:t>
      </w:r>
    </w:p>
    <w:p w:rsidR="000D466D" w:rsidRPr="00ED07C2" w:rsidRDefault="000D466D" w:rsidP="000D466D">
      <w:pPr>
        <w:tabs>
          <w:tab w:val="left" w:pos="1701"/>
          <w:tab w:val="left" w:pos="1985"/>
        </w:tabs>
        <w:ind w:left="1980" w:hanging="1980"/>
      </w:pPr>
      <w:r>
        <w:t>Chemikalien:</w:t>
      </w:r>
      <w:r>
        <w:tab/>
      </w:r>
      <w:r>
        <w:tab/>
        <w:t>Cola, 0,1 M NaOH</w:t>
      </w:r>
    </w:p>
    <w:p w:rsidR="000D466D" w:rsidRPr="007C0C79" w:rsidRDefault="000D466D" w:rsidP="000D466D">
      <w:pPr>
        <w:tabs>
          <w:tab w:val="left" w:pos="1701"/>
          <w:tab w:val="left" w:pos="1985"/>
        </w:tabs>
        <w:ind w:left="1980" w:hanging="1980"/>
      </w:pPr>
      <w:r>
        <w:t xml:space="preserve">Durchführung: </w:t>
      </w:r>
      <w:r>
        <w:tab/>
      </w:r>
      <w:r>
        <w:tab/>
        <w:t>50 mL Cola werden in das Becherglas gegeben und unter Erhitzen ca. 10 Minuten lang gerührt, damit die Kohlensäure entweicht. Danach wird ein Leitfähigkeitsprüfer in die Lösung gehalten und vorsichtig die Natronlauge hinzu titriert, bis die auf dem Voltmeter angezeigte Stromstärke über die Zugabe von mindestens 5 mL hinweg konstant gestiegen ist. Für jeden Mi</w:t>
      </w:r>
      <w:r>
        <w:t>l</w:t>
      </w:r>
      <w:r>
        <w:t>liliter wird die entsprechende Stromstärke notiert.</w:t>
      </w:r>
    </w:p>
    <w:p w:rsidR="000D466D" w:rsidRPr="00C221CF" w:rsidRDefault="000D466D" w:rsidP="000D466D">
      <w:pPr>
        <w:tabs>
          <w:tab w:val="left" w:pos="1701"/>
          <w:tab w:val="left" w:pos="1985"/>
        </w:tabs>
        <w:ind w:left="1980" w:hanging="1980"/>
      </w:pPr>
      <w:r>
        <w:t>Beobachtung:</w:t>
      </w:r>
      <w:r>
        <w:tab/>
      </w:r>
      <w:r>
        <w:tab/>
        <w:t>Nach anfänglichem Sinken des Wertes steigt er nach kurzer Zeit wieder an. Je nach Genauigkeit der Messung kann es sein, dass die Funktion der Stromstärke zwei Mal die Steigung ändert.</w:t>
      </w:r>
    </w:p>
    <w:p w:rsidR="000D466D" w:rsidRDefault="000D466D" w:rsidP="000D466D">
      <w:pPr>
        <w:keepNext/>
        <w:tabs>
          <w:tab w:val="left" w:pos="1701"/>
          <w:tab w:val="left" w:pos="1985"/>
        </w:tabs>
        <w:ind w:left="1980" w:hanging="1980"/>
      </w:pPr>
      <w:r>
        <w:rPr>
          <w:noProof/>
          <w:lang w:eastAsia="ja-JP"/>
        </w:rPr>
        <w:lastRenderedPageBreak/>
        <w:drawing>
          <wp:inline distT="0" distB="0" distL="0" distR="0">
            <wp:extent cx="1894531" cy="3673820"/>
            <wp:effectExtent l="19050" t="0" r="0" b="0"/>
            <wp:docPr id="41" name="Bild 19" descr="D:\Sicherung\Eigene Dateien\Uni\2. Master\SVP\Themen\Titrationen_Alltagschemie\Bilder\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icherung\Eigene Dateien\Uni\2. Master\SVP\Themen\Titrationen_Alltagschemie\Bilder\cola.jpg"/>
                    <pic:cNvPicPr>
                      <a:picLocks noChangeAspect="1" noChangeArrowheads="1"/>
                    </pic:cNvPicPr>
                  </pic:nvPicPr>
                  <pic:blipFill>
                    <a:blip r:embed="rId14" cstate="print"/>
                    <a:srcRect/>
                    <a:stretch>
                      <a:fillRect/>
                    </a:stretch>
                  </pic:blipFill>
                  <pic:spPr bwMode="auto">
                    <a:xfrm>
                      <a:off x="0" y="0"/>
                      <a:ext cx="1906626" cy="3697274"/>
                    </a:xfrm>
                    <a:prstGeom prst="rect">
                      <a:avLst/>
                    </a:prstGeom>
                    <a:noFill/>
                    <a:ln w="9525">
                      <a:noFill/>
                      <a:miter lim="800000"/>
                      <a:headEnd/>
                      <a:tailEnd/>
                    </a:ln>
                  </pic:spPr>
                </pic:pic>
              </a:graphicData>
            </a:graphic>
          </wp:inline>
        </w:drawing>
      </w:r>
      <w:r>
        <w:rPr>
          <w:noProof/>
          <w:lang w:eastAsia="ja-JP"/>
        </w:rPr>
        <w:drawing>
          <wp:inline distT="0" distB="0" distL="0" distR="0">
            <wp:extent cx="3750257" cy="3669475"/>
            <wp:effectExtent l="19050" t="0" r="2593" b="0"/>
            <wp:docPr id="43" name="Bild 21" descr="D:\Sicherung\Eigene Dateien\Uni\2. Master\SVP\Themen\Titrationen_Alltagschemi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icherung\Eigene Dateien\Uni\2. Master\SVP\Themen\Titrationen_Alltagschemie\lf.png"/>
                    <pic:cNvPicPr>
                      <a:picLocks noChangeAspect="1" noChangeArrowheads="1"/>
                    </pic:cNvPicPr>
                  </pic:nvPicPr>
                  <pic:blipFill>
                    <a:blip r:embed="rId15" cstate="print"/>
                    <a:srcRect/>
                    <a:stretch>
                      <a:fillRect/>
                    </a:stretch>
                  </pic:blipFill>
                  <pic:spPr bwMode="auto">
                    <a:xfrm>
                      <a:off x="0" y="0"/>
                      <a:ext cx="3759584" cy="3678602"/>
                    </a:xfrm>
                    <a:prstGeom prst="rect">
                      <a:avLst/>
                    </a:prstGeom>
                    <a:noFill/>
                    <a:ln w="9525">
                      <a:noFill/>
                      <a:miter lim="800000"/>
                      <a:headEnd/>
                      <a:tailEnd/>
                    </a:ln>
                  </pic:spPr>
                </pic:pic>
              </a:graphicData>
            </a:graphic>
          </wp:inline>
        </w:drawing>
      </w:r>
    </w:p>
    <w:p w:rsidR="000D466D" w:rsidRDefault="000D466D" w:rsidP="000D466D">
      <w:pPr>
        <w:pStyle w:val="Beschriftung"/>
        <w:jc w:val="left"/>
      </w:pPr>
      <w:r>
        <w:t xml:space="preserve">                                  Abb. </w:t>
      </w:r>
      <w:fldSimple w:instr=" SEQ Abb. \* ARABIC ">
        <w:r>
          <w:rPr>
            <w:noProof/>
          </w:rPr>
          <w:t>1</w:t>
        </w:r>
      </w:fldSimple>
      <w:r>
        <w:t xml:space="preserve"> - </w:t>
      </w:r>
      <w:r>
        <w:rPr>
          <w:noProof/>
        </w:rPr>
        <w:t xml:space="preserve"> Aufbau und Beobachtung zur Leitfähigkeitstitration von Coca Cola</w:t>
      </w:r>
    </w:p>
    <w:p w:rsidR="000D466D" w:rsidRDefault="000D466D" w:rsidP="000D466D">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1268095</wp:posOffset>
            </wp:positionH>
            <wp:positionV relativeFrom="paragraph">
              <wp:posOffset>2520315</wp:posOffset>
            </wp:positionV>
            <wp:extent cx="2604770" cy="1171575"/>
            <wp:effectExtent l="19050" t="0" r="5080" b="0"/>
            <wp:wrapTight wrapText="bothSides">
              <wp:wrapPolygon edited="0">
                <wp:start x="-158" y="0"/>
                <wp:lineTo x="-158" y="21424"/>
                <wp:lineTo x="21642" y="21424"/>
                <wp:lineTo x="21642" y="0"/>
                <wp:lineTo x="-158" y="0"/>
              </wp:wrapPolygon>
            </wp:wrapTight>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604770" cy="1171575"/>
                    </a:xfrm>
                    <a:prstGeom prst="rect">
                      <a:avLst/>
                    </a:prstGeom>
                    <a:noFill/>
                    <a:ln w="9525">
                      <a:noFill/>
                      <a:miter lim="800000"/>
                      <a:headEnd/>
                      <a:tailEnd/>
                    </a:ln>
                  </pic:spPr>
                </pic:pic>
              </a:graphicData>
            </a:graphic>
          </wp:anchor>
        </w:drawing>
      </w:r>
      <w:r>
        <w:t>Deutung:</w:t>
      </w:r>
      <w:r>
        <w:tab/>
      </w:r>
      <w:r>
        <w:tab/>
      </w:r>
      <w:r>
        <w:tab/>
        <w:t>Die zugetropfte Natronlauge (bzw. die Hydroxid-Ionen) reagieren mit der der Phosphorsäure der Cola (bzw. mit den Hydroxonium-Ionen) in einer Neutralisationsreaktion (also zu Wasser und sind damit ungeladen). Da diese besser leiten als die zugehörigen Kat- und Anionen (Na</w:t>
      </w:r>
      <w:r w:rsidRPr="00781EC7">
        <w:rPr>
          <w:vertAlign w:val="superscript"/>
        </w:rPr>
        <w:t>+</w:t>
      </w:r>
      <w:r>
        <w:t xml:space="preserve"> bzw. H</w:t>
      </w:r>
      <w:r w:rsidRPr="00781EC7">
        <w:rPr>
          <w:vertAlign w:val="subscript"/>
        </w:rPr>
        <w:t>x</w:t>
      </w:r>
      <w:r>
        <w:t>PO</w:t>
      </w:r>
      <w:r w:rsidRPr="006E4399">
        <w:rPr>
          <w:vertAlign w:val="subscript"/>
        </w:rPr>
        <w:t>4</w:t>
      </w:r>
      <w:r w:rsidRPr="00781EC7">
        <w:rPr>
          <w:vertAlign w:val="superscript"/>
        </w:rPr>
        <w:t>(3-x)-</w:t>
      </w:r>
      <w:r>
        <w:t>) nimmt die Leitfähigkeit der Lösung zu Beginn ab. Nach dem Äquivalenzpunkt, bei dem gleich viele Hydroxonium- und Hydroxid-Ionen vorliegen (bei dem Minimum der Leitfähigkeit), steigt die Leitfähigkeit w</w:t>
      </w:r>
      <w:r>
        <w:t>e</w:t>
      </w:r>
      <w:r>
        <w:t>gen der Zugabe weiterer Hydroxonium-Ionen wieder an. Die Änderungen der Steigung sind auf das weitere Dissoziieren der Phosphorsäure bei dem entsprechenden pH-Wert zurückzuführen.</w:t>
      </w: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r>
        <w:lastRenderedPageBreak/>
        <w:tab/>
      </w:r>
      <w:r>
        <w:tab/>
        <w:t>Die Menge der Phosphorsäure kann über die zugegebene Menge von Na</w:t>
      </w:r>
      <w:r>
        <w:t>t</w:t>
      </w:r>
      <w:r>
        <w:t>ronlauge am ÄP bestimmt werden, indem die Stoffmenge mit der Molmasse der Säure (98 g/mol) multipliziert wird. Das Ergebnis muss dann noch auf 100 mL Probe umgerechnet werden (was bei 50 mL Probe bedeutet, dass es verdoppelt werden muss). Die Menge sollte in etwa zwischen 50 mg/100 mL und 80 mg/100 mL liegen.</w:t>
      </w:r>
    </w:p>
    <w:p w:rsidR="000D466D" w:rsidRDefault="000D466D" w:rsidP="000D466D">
      <w:pPr>
        <w:tabs>
          <w:tab w:val="left" w:pos="1701"/>
          <w:tab w:val="left" w:pos="1985"/>
        </w:tabs>
        <w:ind w:left="1980" w:hanging="1980"/>
      </w:pPr>
      <w:r>
        <w:rPr>
          <w:noProof/>
          <w:lang w:eastAsia="ja-JP"/>
        </w:rPr>
        <w:drawing>
          <wp:anchor distT="0" distB="0" distL="114300" distR="114300" simplePos="0" relativeHeight="251662336" behindDoc="1" locked="0" layoutInCell="1" allowOverlap="1">
            <wp:simplePos x="0" y="0"/>
            <wp:positionH relativeFrom="column">
              <wp:posOffset>1268095</wp:posOffset>
            </wp:positionH>
            <wp:positionV relativeFrom="paragraph">
              <wp:posOffset>28575</wp:posOffset>
            </wp:positionV>
            <wp:extent cx="2522220" cy="595630"/>
            <wp:effectExtent l="19050" t="0" r="0" b="0"/>
            <wp:wrapTight wrapText="bothSides">
              <wp:wrapPolygon edited="0">
                <wp:start x="-163" y="0"/>
                <wp:lineTo x="-163" y="20725"/>
                <wp:lineTo x="21535" y="20725"/>
                <wp:lineTo x="21535" y="0"/>
                <wp:lineTo x="-163" y="0"/>
              </wp:wrapPolygon>
            </wp:wrapTight>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22220" cy="595630"/>
                    </a:xfrm>
                    <a:prstGeom prst="rect">
                      <a:avLst/>
                    </a:prstGeom>
                    <a:noFill/>
                    <a:ln w="9525">
                      <a:noFill/>
                      <a:miter lim="800000"/>
                      <a:headEnd/>
                      <a:tailEnd/>
                    </a:ln>
                  </pic:spPr>
                </pic:pic>
              </a:graphicData>
            </a:graphic>
          </wp:anchor>
        </w:drawing>
      </w:r>
    </w:p>
    <w:p w:rsidR="000D466D" w:rsidRDefault="000D466D" w:rsidP="000D466D">
      <w:pPr>
        <w:tabs>
          <w:tab w:val="left" w:pos="1701"/>
          <w:tab w:val="left" w:pos="1985"/>
        </w:tabs>
        <w:ind w:left="2124" w:hanging="2124"/>
        <w:rPr>
          <w:rFonts w:asciiTheme="majorHAnsi" w:hAnsiTheme="majorHAnsi"/>
        </w:rPr>
      </w:pPr>
    </w:p>
    <w:p w:rsidR="000D466D" w:rsidRDefault="000D466D" w:rsidP="000D466D">
      <w:pPr>
        <w:tabs>
          <w:tab w:val="left" w:pos="1701"/>
          <w:tab w:val="left" w:pos="1985"/>
        </w:tabs>
        <w:ind w:left="2124" w:hanging="2124"/>
        <w:rPr>
          <w:rFonts w:asciiTheme="majorHAnsi" w:hAnsiTheme="majorHAnsi"/>
        </w:rPr>
      </w:pPr>
    </w:p>
    <w:p w:rsidR="000D466D" w:rsidRDefault="000D466D" w:rsidP="000D466D">
      <w:pPr>
        <w:tabs>
          <w:tab w:val="left" w:pos="1701"/>
          <w:tab w:val="left" w:pos="1985"/>
        </w:tabs>
        <w:ind w:left="1701" w:hanging="1701"/>
        <w:rPr>
          <w:rFonts w:asciiTheme="majorHAnsi" w:hAnsiTheme="majorHAnsi"/>
        </w:rPr>
      </w:pPr>
      <w:r>
        <w:rPr>
          <w:rFonts w:asciiTheme="majorHAnsi" w:hAnsiTheme="majorHAnsi"/>
        </w:rPr>
        <w:t>Entsorgung:</w:t>
      </w:r>
      <w:r>
        <w:rPr>
          <w:rFonts w:asciiTheme="majorHAnsi" w:hAnsiTheme="majorHAnsi"/>
        </w:rPr>
        <w:tab/>
        <w:t>Die Lösungen können, mit Wasser verdünnt, über den Abfluss entsorgt we</w:t>
      </w:r>
      <w:r>
        <w:rPr>
          <w:rFonts w:asciiTheme="majorHAnsi" w:hAnsiTheme="majorHAnsi"/>
        </w:rPr>
        <w:t>r</w:t>
      </w:r>
      <w:r>
        <w:rPr>
          <w:rFonts w:asciiTheme="majorHAnsi" w:hAnsiTheme="majorHAnsi"/>
        </w:rPr>
        <w:t>den.</w:t>
      </w:r>
    </w:p>
    <w:p w:rsidR="000D466D" w:rsidRPr="00B937A2" w:rsidRDefault="000D466D" w:rsidP="000D466D">
      <w:pPr>
        <w:autoSpaceDE w:val="0"/>
        <w:autoSpaceDN w:val="0"/>
        <w:adjustRightInd w:val="0"/>
        <w:spacing w:after="0" w:line="240" w:lineRule="auto"/>
        <w:jc w:val="left"/>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w:t>
      </w:r>
    </w:p>
    <w:p w:rsidR="000D466D" w:rsidRDefault="000D466D" w:rsidP="000D466D">
      <w:pPr>
        <w:tabs>
          <w:tab w:val="left" w:pos="1701"/>
          <w:tab w:val="left" w:pos="1985"/>
        </w:tabs>
        <w:ind w:left="1980" w:hanging="1980"/>
      </w:pPr>
    </w:p>
    <w:p w:rsidR="000D466D" w:rsidRDefault="000D466D" w:rsidP="000D466D">
      <w:pPr>
        <w:tabs>
          <w:tab w:val="left" w:pos="1701"/>
          <w:tab w:val="left" w:pos="1985"/>
        </w:tabs>
        <w:ind w:left="1980" w:hanging="1980"/>
      </w:pPr>
      <w:r>
        <w:rPr>
          <w:noProof/>
          <w:lang w:eastAsia="ja-JP"/>
        </w:rPr>
      </w:r>
      <w:r>
        <w:rPr>
          <w:noProof/>
          <w:lang w:eastAsia="ja-JP"/>
        </w:rPr>
        <w:pict>
          <v:shape id="Text Box 163" o:spid="_x0000_s1026" type="#_x0000_t202" style="width:462.45pt;height:65.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" fillcolor="white [3201]" strokecolor="#c0504d [3205]" strokeweight="1pt">
            <v:stroke dashstyle="dash"/>
            <v:shadow color="#868686"/>
            <v:textbox>
              <w:txbxContent>
                <w:p w:rsidR="000D466D" w:rsidRPr="00C221CF" w:rsidRDefault="000D466D" w:rsidP="000D466D">
                  <w:pPr>
                    <w:autoSpaceDE w:val="0"/>
                    <w:autoSpaceDN w:val="0"/>
                    <w:adjustRightInd w:val="0"/>
                    <w:spacing w:after="0"/>
                    <w:rPr>
                      <w:color w:val="1F497D" w:themeColor="text2"/>
                    </w:rPr>
                  </w:pPr>
                  <w:r>
                    <w:rPr>
                      <w:b/>
                      <w:color w:val="1F497D" w:themeColor="text2"/>
                    </w:rPr>
                    <w:t>U</w:t>
                  </w:r>
                  <w:r w:rsidRPr="000D10FB">
                    <w:rPr>
                      <w:b/>
                      <w:color w:val="1F497D" w:themeColor="text2"/>
                    </w:rPr>
                    <w:t xml:space="preserve">nterrichtsanschlüsse </w:t>
                  </w:r>
                  <w:r>
                    <w:rPr>
                      <w:rFonts w:cs="Cambria"/>
                      <w:color w:val="auto"/>
                    </w:rPr>
                    <w:t>Dieser Versuch kann auch genutzt werden, um die Themen Säure-Base-Chemie und Leitfähigkeit zu wiederholen bzw. zu vertiefen. Für eine Einführung dieser Themen eignet er sich allerdings nicht.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0D466D"/>
    <w:rsid w:val="000D466D"/>
    <w:rsid w:val="00294EC1"/>
    <w:rsid w:val="0033527F"/>
    <w:rsid w:val="00381846"/>
    <w:rsid w:val="00A91A3E"/>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466D"/>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0D466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466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466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466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46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46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46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46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46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466D"/>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0D466D"/>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0D466D"/>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0D466D"/>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0D466D"/>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0D466D"/>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0D466D"/>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0D466D"/>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0D466D"/>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0D466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D46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66D"/>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2025</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2014-08-27T11:51:00Z</dcterms:created>
  <dcterms:modified xsi:type="dcterms:W3CDTF">2014-08-27T11:51:00Z</dcterms:modified>
</cp:coreProperties>
</file>