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CD0" w:rsidRDefault="007A5CD0" w:rsidP="007A5CD0">
      <w:pPr>
        <w:pStyle w:val="berschrift2"/>
      </w:pPr>
      <w:bookmarkStart w:id="0" w:name="_Toc396244541"/>
      <w:r>
        <w:rPr>
          <w:noProof/>
          <w:lang w:eastAsia="ja-JP"/>
        </w:rPr>
        <w:pict>
          <v:shapetype id="_x0000_t202" coordsize="21600,21600" o:spt="202" path="m,l,21600r21600,l21600,xe">
            <v:stroke joinstyle="miter"/>
            <v:path gradientshapeok="t" o:connecttype="rect"/>
          </v:shapetype>
          <v:shape id="Text Box 150" o:spid="_x0000_s1027" type="#_x0000_t202" style="position:absolute;left:0;text-align:left;margin-left:.2pt;margin-top:32.2pt;width:462.45pt;height:107.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" fillcolor="white [3201]" strokecolor="#4bacc6 [3208]" strokeweight="1pt">
            <v:stroke dashstyle="dash"/>
            <v:shadow color="#868686"/>
            <v:textbox>
              <w:txbxContent>
                <w:p w:rsidR="007A5CD0" w:rsidRPr="000D10FB" w:rsidRDefault="007A5CD0" w:rsidP="007A5CD0">
                  <w:pPr>
                    <w:rPr>
                      <w:color w:val="1F497D" w:themeColor="text2"/>
                    </w:rPr>
                  </w:pPr>
                  <w:r>
                    <w:rPr>
                      <w:color w:val="1F497D" w:themeColor="text2"/>
                    </w:rPr>
                    <w:t>Dieser relativ komplexe Versuch, ermöglicht es, quantitativ die Zuckermenge eines Saftes mi</w:t>
                  </w:r>
                  <w:r>
                    <w:rPr>
                      <w:color w:val="1F497D" w:themeColor="text2"/>
                    </w:rPr>
                    <w:t>t</w:t>
                  </w:r>
                  <w:r>
                    <w:rPr>
                      <w:color w:val="1F497D" w:themeColor="text2"/>
                    </w:rPr>
                    <w:t>tels Titration zu bestimmen. Das Grundprinzip ist dabei mittels der Fehlingprobe den Zucker der Lösung zu oxidieren und anschließend über die Zugabe von Iodid und eine Titration mit Natriumthiosulfat die Menge der nicht reagierten Kupfer-Ionen und darüber indirekt die Me</w:t>
                  </w:r>
                  <w:r>
                    <w:rPr>
                      <w:color w:val="1F497D" w:themeColor="text2"/>
                    </w:rPr>
                    <w:t>n</w:t>
                  </w:r>
                  <w:r>
                    <w:rPr>
                      <w:color w:val="1F497D" w:themeColor="text2"/>
                    </w:rPr>
                    <w:t>ge an Zucker zu bestimmen.</w:t>
                  </w:r>
                </w:p>
              </w:txbxContent>
            </v:textbox>
            <w10:wrap type="square"/>
          </v:shape>
        </w:pict>
      </w:r>
      <w:r>
        <w:t>V 4 – Redox-Titration zur Bestimmung der Zuckermenge in Apfelsaft</w:t>
      </w:r>
      <w:bookmarkEnd w:id="0"/>
    </w:p>
    <w:p w:rsidR="007A5CD0" w:rsidRDefault="007A5CD0" w:rsidP="007A5CD0"/>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250"/>
        <w:gridCol w:w="759"/>
        <w:gridCol w:w="1009"/>
        <w:gridCol w:w="1009"/>
        <w:gridCol w:w="1009"/>
        <w:gridCol w:w="1175"/>
        <w:gridCol w:w="993"/>
        <w:gridCol w:w="975"/>
        <w:gridCol w:w="1009"/>
        <w:gridCol w:w="851"/>
        <w:gridCol w:w="283"/>
      </w:tblGrid>
      <w:tr w:rsidR="007A5CD0" w:rsidRPr="009C5E28" w:rsidTr="001C4DC2">
        <w:tc>
          <w:tcPr>
            <w:tcW w:w="9322" w:type="dxa"/>
            <w:gridSpan w:val="11"/>
            <w:shd w:val="clear" w:color="auto" w:fill="4F81BD"/>
            <w:vAlign w:val="center"/>
          </w:tcPr>
          <w:p w:rsidR="007A5CD0" w:rsidRPr="009C5E28" w:rsidRDefault="007A5CD0" w:rsidP="001C4DC2">
            <w:pPr>
              <w:spacing w:after="0"/>
              <w:jc w:val="center"/>
              <w:rPr>
                <w:b/>
                <w:bCs/>
              </w:rPr>
            </w:pPr>
            <w:r w:rsidRPr="009C5E28">
              <w:rPr>
                <w:b/>
                <w:bCs/>
              </w:rPr>
              <w:t>Gefahrenstoffe</w:t>
            </w:r>
          </w:p>
        </w:tc>
      </w:tr>
      <w:tr w:rsidR="007A5CD0" w:rsidRPr="00015F9F" w:rsidTr="001C4DC2">
        <w:trPr>
          <w:trHeight w:val="437"/>
        </w:trPr>
        <w:tc>
          <w:tcPr>
            <w:tcW w:w="250" w:type="dxa"/>
            <w:tcBorders>
              <w:top w:val="single" w:sz="8" w:space="0" w:color="4F81BD"/>
              <w:left w:val="single" w:sz="8" w:space="0" w:color="4F81BD"/>
              <w:bottom w:val="single" w:sz="8" w:space="0" w:color="4F81BD"/>
            </w:tcBorders>
            <w:shd w:val="clear" w:color="auto" w:fill="auto"/>
            <w:vAlign w:val="center"/>
          </w:tcPr>
          <w:p w:rsidR="007A5CD0" w:rsidRPr="009C5E28" w:rsidRDefault="007A5CD0" w:rsidP="001C4DC2">
            <w:pPr>
              <w:spacing w:after="0" w:line="276" w:lineRule="auto"/>
              <w:rPr>
                <w:b/>
                <w:bCs/>
              </w:rPr>
            </w:pPr>
          </w:p>
        </w:tc>
        <w:tc>
          <w:tcPr>
            <w:tcW w:w="8789" w:type="dxa"/>
            <w:gridSpan w:val="9"/>
            <w:tcBorders>
              <w:top w:val="single" w:sz="8" w:space="0" w:color="4F81BD"/>
              <w:bottom w:val="single" w:sz="8" w:space="0" w:color="4F81BD"/>
            </w:tcBorders>
            <w:shd w:val="clear" w:color="auto" w:fill="auto"/>
            <w:vAlign w:val="center"/>
          </w:tcPr>
          <w:p w:rsidR="007A5CD0" w:rsidRPr="00B57879" w:rsidRDefault="007A5CD0" w:rsidP="001C4DC2">
            <w:pPr>
              <w:spacing w:after="0"/>
              <w:jc w:val="center"/>
              <w:rPr>
                <w:lang w:val="en-US"/>
              </w:rPr>
            </w:pPr>
            <w:r w:rsidRPr="001803F4">
              <w:rPr>
                <w:lang w:val="en-US"/>
              </w:rPr>
              <w:t xml:space="preserve">Kupfer(II)-sulfat: </w:t>
            </w:r>
            <w:r>
              <w:rPr>
                <w:lang w:val="en-US"/>
              </w:rPr>
              <w:t>H302, H319, H315, H410, P273, P302+P352, P305+P351+P338</w:t>
            </w:r>
          </w:p>
        </w:tc>
        <w:tc>
          <w:tcPr>
            <w:tcW w:w="283" w:type="dxa"/>
            <w:tcBorders>
              <w:top w:val="single" w:sz="8" w:space="0" w:color="4F81BD"/>
              <w:bottom w:val="single" w:sz="8" w:space="0" w:color="4F81BD"/>
              <w:right w:val="single" w:sz="8" w:space="0" w:color="4F81BD"/>
            </w:tcBorders>
            <w:shd w:val="clear" w:color="auto" w:fill="auto"/>
            <w:vAlign w:val="center"/>
          </w:tcPr>
          <w:p w:rsidR="007A5CD0" w:rsidRPr="00B57879" w:rsidRDefault="007A5CD0" w:rsidP="001C4DC2">
            <w:pPr>
              <w:spacing w:after="0"/>
              <w:jc w:val="center"/>
              <w:rPr>
                <w:lang w:val="en-US"/>
              </w:rPr>
            </w:pPr>
          </w:p>
        </w:tc>
      </w:tr>
      <w:tr w:rsidR="007A5CD0" w:rsidRPr="00015F9F" w:rsidTr="001C4DC2">
        <w:trPr>
          <w:trHeight w:val="434"/>
        </w:trPr>
        <w:tc>
          <w:tcPr>
            <w:tcW w:w="250" w:type="dxa"/>
            <w:shd w:val="clear" w:color="auto" w:fill="auto"/>
            <w:vAlign w:val="center"/>
          </w:tcPr>
          <w:p w:rsidR="007A5CD0" w:rsidRPr="00B57879" w:rsidRDefault="007A5CD0" w:rsidP="001C4DC2">
            <w:pPr>
              <w:spacing w:after="0" w:line="276" w:lineRule="auto"/>
              <w:rPr>
                <w:bCs/>
                <w:sz w:val="20"/>
                <w:lang w:val="en-US"/>
              </w:rPr>
            </w:pPr>
          </w:p>
        </w:tc>
        <w:tc>
          <w:tcPr>
            <w:tcW w:w="8789" w:type="dxa"/>
            <w:gridSpan w:val="9"/>
            <w:shd w:val="clear" w:color="auto" w:fill="auto"/>
            <w:vAlign w:val="center"/>
          </w:tcPr>
          <w:p w:rsidR="007A5CD0" w:rsidRPr="000741FD" w:rsidRDefault="007A5CD0" w:rsidP="001C4DC2">
            <w:pPr>
              <w:pStyle w:val="Beschriftung"/>
              <w:spacing w:after="0"/>
              <w:jc w:val="center"/>
              <w:rPr>
                <w:sz w:val="22"/>
                <w:szCs w:val="22"/>
                <w:lang w:val="en-US"/>
              </w:rPr>
            </w:pPr>
            <w:r w:rsidRPr="000741FD">
              <w:rPr>
                <w:bCs w:val="0"/>
                <w:sz w:val="22"/>
                <w:szCs w:val="22"/>
                <w:lang w:val="en-US"/>
              </w:rPr>
              <w:t>Schwefelsäure: H314, H290, P280, P303+P361+P353, P301+P330+P331, P309+P311</w:t>
            </w:r>
          </w:p>
        </w:tc>
        <w:tc>
          <w:tcPr>
            <w:tcW w:w="283" w:type="dxa"/>
            <w:shd w:val="clear" w:color="auto" w:fill="auto"/>
            <w:vAlign w:val="center"/>
          </w:tcPr>
          <w:p w:rsidR="007A5CD0" w:rsidRPr="00C47461" w:rsidRDefault="007A5CD0" w:rsidP="001C4DC2">
            <w:pPr>
              <w:pStyle w:val="Beschriftung"/>
              <w:spacing w:after="0"/>
              <w:jc w:val="center"/>
              <w:rPr>
                <w:sz w:val="20"/>
                <w:lang w:val="en-US"/>
              </w:rPr>
            </w:pPr>
          </w:p>
        </w:tc>
      </w:tr>
      <w:tr w:rsidR="007A5CD0" w:rsidRPr="009C5E28" w:rsidTr="001C4DC2">
        <w:tc>
          <w:tcPr>
            <w:tcW w:w="1009" w:type="dxa"/>
            <w:gridSpan w:val="2"/>
            <w:tcBorders>
              <w:top w:val="single" w:sz="8" w:space="0" w:color="4F81BD"/>
              <w:left w:val="single" w:sz="8" w:space="0" w:color="4F81BD"/>
              <w:bottom w:val="single" w:sz="8" w:space="0" w:color="4F81BD"/>
            </w:tcBorders>
            <w:shd w:val="clear" w:color="auto" w:fill="auto"/>
            <w:vAlign w:val="center"/>
          </w:tcPr>
          <w:p w:rsidR="007A5CD0" w:rsidRPr="009C5E28" w:rsidRDefault="007A5CD0" w:rsidP="001C4DC2">
            <w:pPr>
              <w:spacing w:after="0"/>
              <w:jc w:val="center"/>
              <w:rPr>
                <w:b/>
                <w:bCs/>
              </w:rPr>
            </w:pPr>
            <w:r w:rsidRPr="00906AC2">
              <w:rPr>
                <w:b/>
                <w:noProof/>
                <w:lang w:eastAsia="ja-JP"/>
              </w:rPr>
              <w:drawing>
                <wp:inline distT="0" distB="0" distL="0" distR="0">
                  <wp:extent cx="571500" cy="571500"/>
                  <wp:effectExtent l="19050" t="0" r="0" b="0"/>
                  <wp:docPr id="57" name="Bild 73" descr="D:\Sicherung\Eigene Dateien\Uni\2. Master\SVP\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D:\Sicherung\Eigene Dateien\Uni\2. Master\SVP\Piktogramme\Ätzend.png"/>
                          <pic:cNvPicPr>
                            <a:picLocks noChangeAspect="1" noChangeArrowheads="1"/>
                          </pic:cNvPicPr>
                        </pic:nvPicPr>
                        <pic:blipFill>
                          <a:blip r:embed="rId5"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A5CD0" w:rsidRPr="009C5E28" w:rsidRDefault="007A5CD0" w:rsidP="001C4DC2">
            <w:pPr>
              <w:spacing w:after="0"/>
              <w:jc w:val="center"/>
            </w:pPr>
            <w:r>
              <w:rPr>
                <w:noProof/>
                <w:lang w:eastAsia="ja-JP"/>
              </w:rPr>
              <w:drawing>
                <wp:inline distT="0" distB="0" distL="0" distR="0">
                  <wp:extent cx="504190" cy="504190"/>
                  <wp:effectExtent l="0" t="0" r="0" b="0"/>
                  <wp:docPr id="31"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A5CD0" w:rsidRPr="009C5E28" w:rsidRDefault="007A5CD0" w:rsidP="001C4DC2">
            <w:pPr>
              <w:spacing w:after="0"/>
              <w:jc w:val="center"/>
            </w:pPr>
            <w:r>
              <w:rPr>
                <w:noProof/>
                <w:lang w:eastAsia="ja-JP"/>
              </w:rPr>
              <w:drawing>
                <wp:inline distT="0" distB="0" distL="0" distR="0">
                  <wp:extent cx="504190" cy="504190"/>
                  <wp:effectExtent l="0" t="0" r="0" b="0"/>
                  <wp:docPr id="64"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A5CD0" w:rsidRPr="009C5E28" w:rsidRDefault="007A5CD0" w:rsidP="001C4DC2">
            <w:pPr>
              <w:spacing w:after="0"/>
              <w:jc w:val="center"/>
            </w:pPr>
            <w:r>
              <w:rPr>
                <w:noProof/>
                <w:lang w:eastAsia="ja-JP"/>
              </w:rPr>
              <w:drawing>
                <wp:inline distT="0" distB="0" distL="0" distR="0">
                  <wp:extent cx="504190" cy="504190"/>
                  <wp:effectExtent l="0" t="0" r="0" b="0"/>
                  <wp:docPr id="65"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7A5CD0" w:rsidRPr="009C5E28" w:rsidRDefault="007A5CD0" w:rsidP="001C4DC2">
            <w:pPr>
              <w:spacing w:after="0"/>
              <w:jc w:val="center"/>
            </w:pPr>
            <w:r w:rsidRPr="00C66C08">
              <w:rPr>
                <w:noProof/>
                <w:lang w:eastAsia="ja-JP"/>
              </w:rPr>
              <w:drawing>
                <wp:inline distT="0" distB="0" distL="0" distR="0">
                  <wp:extent cx="504190" cy="504190"/>
                  <wp:effectExtent l="0" t="0" r="0" b="0"/>
                  <wp:docPr id="34"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7A5CD0" w:rsidRPr="009C5E28" w:rsidRDefault="007A5CD0" w:rsidP="001C4DC2">
            <w:pPr>
              <w:spacing w:after="0"/>
              <w:jc w:val="center"/>
            </w:pPr>
            <w:r>
              <w:rPr>
                <w:noProof/>
                <w:lang w:eastAsia="ja-JP"/>
              </w:rPr>
              <w:drawing>
                <wp:inline distT="0" distB="0" distL="0" distR="0">
                  <wp:extent cx="504190" cy="504190"/>
                  <wp:effectExtent l="0" t="0" r="0" b="0"/>
                  <wp:docPr id="67"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7A5CD0" w:rsidRPr="009C5E28" w:rsidRDefault="007A5CD0" w:rsidP="001C4DC2">
            <w:pPr>
              <w:spacing w:after="0"/>
              <w:jc w:val="center"/>
            </w:pPr>
            <w:r>
              <w:rPr>
                <w:noProof/>
                <w:lang w:eastAsia="ja-JP"/>
              </w:rPr>
              <w:drawing>
                <wp:inline distT="0" distB="0" distL="0" distR="0">
                  <wp:extent cx="504190" cy="504190"/>
                  <wp:effectExtent l="0" t="0" r="0" b="0"/>
                  <wp:docPr id="68"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A5CD0" w:rsidRPr="009C5E28" w:rsidRDefault="007A5CD0" w:rsidP="001C4DC2">
            <w:pPr>
              <w:spacing w:after="0"/>
              <w:jc w:val="center"/>
            </w:pPr>
            <w:r w:rsidRPr="008E0C25">
              <w:rPr>
                <w:noProof/>
                <w:lang w:eastAsia="ja-JP"/>
              </w:rPr>
              <w:drawing>
                <wp:inline distT="0" distB="0" distL="0" distR="0">
                  <wp:extent cx="552450" cy="552450"/>
                  <wp:effectExtent l="19050" t="0" r="0" b="0"/>
                  <wp:docPr id="35" name="Bild 75" descr="D:\Sicherung\Eigene Dateien\Uni\2. Master\SVP\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D:\Sicherung\Eigene Dateien\Uni\2. Master\SVP\Piktogramme\Reizend.png"/>
                          <pic:cNvPicPr>
                            <a:picLocks noChangeAspect="1" noChangeArrowheads="1"/>
                          </pic:cNvPicPr>
                        </pic:nvPicPr>
                        <pic:blipFill>
                          <a:blip r:embed="rId12" cstate="print"/>
                          <a:srcRect/>
                          <a:stretch>
                            <a:fillRect/>
                          </a:stretch>
                        </pic:blipFill>
                        <pic:spPr bwMode="auto">
                          <a:xfrm>
                            <a:off x="0" y="0"/>
                            <a:ext cx="552450" cy="552450"/>
                          </a:xfrm>
                          <a:prstGeom prst="rect">
                            <a:avLst/>
                          </a:prstGeom>
                          <a:noFill/>
                          <a:ln w="9525">
                            <a:noFill/>
                            <a:miter lim="800000"/>
                            <a:headEnd/>
                            <a:tailEnd/>
                          </a:ln>
                        </pic:spPr>
                      </pic:pic>
                    </a:graphicData>
                  </a:graphic>
                </wp:inline>
              </w:drawing>
            </w:r>
          </w:p>
        </w:tc>
        <w:tc>
          <w:tcPr>
            <w:tcW w:w="1134" w:type="dxa"/>
            <w:gridSpan w:val="2"/>
            <w:tcBorders>
              <w:top w:val="single" w:sz="8" w:space="0" w:color="4F81BD"/>
              <w:bottom w:val="single" w:sz="8" w:space="0" w:color="4F81BD"/>
              <w:right w:val="single" w:sz="8" w:space="0" w:color="4F81BD"/>
            </w:tcBorders>
            <w:shd w:val="clear" w:color="auto" w:fill="auto"/>
            <w:vAlign w:val="center"/>
          </w:tcPr>
          <w:p w:rsidR="007A5CD0" w:rsidRPr="009C5E28" w:rsidRDefault="007A5CD0" w:rsidP="001C4DC2">
            <w:pPr>
              <w:spacing w:after="0"/>
              <w:jc w:val="center"/>
            </w:pPr>
            <w:r w:rsidRPr="008E0C25">
              <w:rPr>
                <w:noProof/>
                <w:lang w:eastAsia="ja-JP"/>
              </w:rPr>
              <w:drawing>
                <wp:inline distT="0" distB="0" distL="0" distR="0">
                  <wp:extent cx="561975" cy="561975"/>
                  <wp:effectExtent l="19050" t="0" r="9525" b="0"/>
                  <wp:docPr id="36" name="Bild 76" descr="D:\Sicherung\Eigene Dateien\Uni\2. Master\SVP\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D:\Sicherung\Eigene Dateien\Uni\2. Master\SVP\Piktogramme\Umweltgefahr.png"/>
                          <pic:cNvPicPr>
                            <a:picLocks noChangeAspect="1" noChangeArrowheads="1"/>
                          </pic:cNvPicPr>
                        </pic:nvPicPr>
                        <pic:blipFill>
                          <a:blip r:embed="rId13" cstate="print"/>
                          <a:srcRect/>
                          <a:stretch>
                            <a:fillRect/>
                          </a:stretch>
                        </pic:blipFill>
                        <pic:spPr bwMode="auto">
                          <a:xfrm>
                            <a:off x="0" y="0"/>
                            <a:ext cx="561975" cy="561975"/>
                          </a:xfrm>
                          <a:prstGeom prst="rect">
                            <a:avLst/>
                          </a:prstGeom>
                          <a:noFill/>
                          <a:ln w="9525">
                            <a:noFill/>
                            <a:miter lim="800000"/>
                            <a:headEnd/>
                            <a:tailEnd/>
                          </a:ln>
                        </pic:spPr>
                      </pic:pic>
                    </a:graphicData>
                  </a:graphic>
                </wp:inline>
              </w:drawing>
            </w:r>
          </w:p>
        </w:tc>
      </w:tr>
    </w:tbl>
    <w:p w:rsidR="007A5CD0" w:rsidRDefault="007A5CD0" w:rsidP="007A5CD0">
      <w:pPr>
        <w:tabs>
          <w:tab w:val="left" w:pos="1701"/>
          <w:tab w:val="left" w:pos="1985"/>
        </w:tabs>
        <w:ind w:left="1980" w:hanging="1980"/>
      </w:pPr>
    </w:p>
    <w:p w:rsidR="007A5CD0" w:rsidRDefault="007A5CD0" w:rsidP="007A5CD0">
      <w:pPr>
        <w:tabs>
          <w:tab w:val="left" w:pos="1701"/>
          <w:tab w:val="left" w:pos="1985"/>
        </w:tabs>
        <w:ind w:left="1980" w:hanging="1980"/>
      </w:pPr>
      <w:r>
        <w:t xml:space="preserve">Materialien: </w:t>
      </w:r>
      <w:r>
        <w:tab/>
      </w:r>
      <w:r>
        <w:tab/>
      </w:r>
      <w:r>
        <w:rPr>
          <w:rFonts w:cs="Cambria"/>
          <w:color w:val="auto"/>
        </w:rPr>
        <w:t xml:space="preserve">Magnetrührer mit Heizplatte; </w:t>
      </w:r>
      <w:r w:rsidRPr="00DC5595">
        <w:t>5</w:t>
      </w:r>
      <w:r>
        <w:t>0 </w:t>
      </w:r>
      <w:r w:rsidRPr="00DC5595">
        <w:t>mL</w:t>
      </w:r>
      <w:r>
        <w:rPr>
          <w:rFonts w:cs="Cambria"/>
          <w:color w:val="auto"/>
        </w:rPr>
        <w:t xml:space="preserve"> Bürette; Becherglas (250 mL); 2 B</w:t>
      </w:r>
      <w:r>
        <w:rPr>
          <w:rFonts w:cs="Cambria"/>
          <w:color w:val="auto"/>
        </w:rPr>
        <w:t>e</w:t>
      </w:r>
      <w:r>
        <w:rPr>
          <w:rFonts w:cs="Cambria"/>
          <w:color w:val="auto"/>
        </w:rPr>
        <w:t xml:space="preserve">chergläser (50 mL); </w:t>
      </w:r>
    </w:p>
    <w:p w:rsidR="007A5CD0" w:rsidRPr="00ED07C2" w:rsidRDefault="007A5CD0" w:rsidP="007A5CD0">
      <w:pPr>
        <w:tabs>
          <w:tab w:val="left" w:pos="1701"/>
          <w:tab w:val="left" w:pos="1985"/>
        </w:tabs>
        <w:ind w:left="1980" w:hanging="1980"/>
      </w:pPr>
      <w:r>
        <w:t>Chemikalien:</w:t>
      </w:r>
      <w:r>
        <w:tab/>
      </w:r>
      <w:r>
        <w:tab/>
        <w:t>Kaliumnatriumtartrat, Kupfer(II)-sulfat, Schwefelsäure (10%ig), Kaliumi</w:t>
      </w:r>
      <w:r>
        <w:t>o</w:t>
      </w:r>
      <w:r>
        <w:t>did (10%ig), Natriumthiosulfat</w:t>
      </w:r>
    </w:p>
    <w:p w:rsidR="007A5CD0" w:rsidRDefault="007A5CD0" w:rsidP="007A5CD0">
      <w:pPr>
        <w:tabs>
          <w:tab w:val="left" w:pos="1701"/>
          <w:tab w:val="left" w:pos="1985"/>
        </w:tabs>
        <w:ind w:left="1980" w:hanging="1980"/>
      </w:pPr>
      <w:r>
        <w:t xml:space="preserve">Durchführung: </w:t>
      </w:r>
      <w:r>
        <w:tab/>
      </w:r>
      <w:r>
        <w:tab/>
        <w:t>Zu wenigen Millilitern des Saftes (ca. 5 mL) in dem 250 mL Becherglas werden 10 mL Fehling I und 5 mL Fehling II hinzugegeben und die Lösung unter Rühren für ca. 2 Minuten erhitzt. Nach Abkühlen in Wasser werden zu der Lösung ca. 10 mL der Schwefelsäure und 10 mL der Kalium-Iodid-Lösung hinzugegeben. Danach wird die resultierende weißliche Lösung mit 0,1 molarer Natriumthiosulfatlösung bis zur Entfärbung titriert.</w:t>
      </w:r>
    </w:p>
    <w:p w:rsidR="007A5CD0" w:rsidRDefault="007A5CD0" w:rsidP="007A5CD0">
      <w:pPr>
        <w:tabs>
          <w:tab w:val="left" w:pos="1701"/>
          <w:tab w:val="left" w:pos="1985"/>
        </w:tabs>
        <w:ind w:left="1980" w:hanging="1980"/>
      </w:pPr>
      <w:r>
        <w:t>Beobachtung:</w:t>
      </w:r>
      <w:r>
        <w:tab/>
      </w:r>
      <w:r>
        <w:tab/>
        <w:t>Die blaue Fehling I-Lösung wird bei der Zugabe der Fehling II-Lösung dunkel blau und beim Erhitzen mit dem Apfelsaft orange. Bei Zugabe der and</w:t>
      </w:r>
      <w:r>
        <w:t>e</w:t>
      </w:r>
      <w:r>
        <w:t>ren zwei Lösungen wird die Lösung weißlich trüb und beim Titrieren klar-braun. Wird weiter titriert, wird die Lösung wieder weißlich trüb.</w:t>
      </w:r>
    </w:p>
    <w:p w:rsidR="007A5CD0" w:rsidRDefault="007A5CD0" w:rsidP="007A5CD0">
      <w:pPr>
        <w:keepNext/>
        <w:tabs>
          <w:tab w:val="left" w:pos="1701"/>
          <w:tab w:val="left" w:pos="1985"/>
        </w:tabs>
        <w:ind w:left="1980" w:hanging="1980"/>
      </w:pPr>
      <w:r>
        <w:rPr>
          <w:noProof/>
          <w:lang w:eastAsia="ja-JP"/>
        </w:rPr>
        <w:lastRenderedPageBreak/>
        <w:drawing>
          <wp:inline distT="0" distB="0" distL="0" distR="0">
            <wp:extent cx="1477241" cy="2244436"/>
            <wp:effectExtent l="19050" t="0" r="8659" b="0"/>
            <wp:docPr id="12" name="Bild 10" descr="D:\Sicherung\Eigene Dateien\Uni\2. Master\SVP\Themen\Titrationen_Alltagschemie\Bilder\apfe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Sicherung\Eigene Dateien\Uni\2. Master\SVP\Themen\Titrationen_Alltagschemie\Bilder\apfel1.jpg"/>
                    <pic:cNvPicPr>
                      <a:picLocks noChangeAspect="1" noChangeArrowheads="1"/>
                    </pic:cNvPicPr>
                  </pic:nvPicPr>
                  <pic:blipFill>
                    <a:blip r:embed="rId14" cstate="print"/>
                    <a:srcRect/>
                    <a:stretch>
                      <a:fillRect/>
                    </a:stretch>
                  </pic:blipFill>
                  <pic:spPr bwMode="auto">
                    <a:xfrm>
                      <a:off x="0" y="0"/>
                      <a:ext cx="1477241" cy="2244436"/>
                    </a:xfrm>
                    <a:prstGeom prst="rect">
                      <a:avLst/>
                    </a:prstGeom>
                    <a:noFill/>
                    <a:ln w="9525">
                      <a:noFill/>
                      <a:miter lim="800000"/>
                      <a:headEnd/>
                      <a:tailEnd/>
                    </a:ln>
                  </pic:spPr>
                </pic:pic>
              </a:graphicData>
            </a:graphic>
          </wp:inline>
        </w:drawing>
      </w:r>
      <w:r>
        <w:rPr>
          <w:noProof/>
          <w:lang w:eastAsia="ja-JP"/>
        </w:rPr>
        <w:drawing>
          <wp:inline distT="0" distB="0" distL="0" distR="0">
            <wp:extent cx="1306285" cy="2244436"/>
            <wp:effectExtent l="19050" t="0" r="8165" b="0"/>
            <wp:docPr id="14" name="Bild 11" descr="D:\Sicherung\Eigene Dateien\Uni\2. Master\SVP\Themen\Titrationen_Alltagschemie\Bilder\apfe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Sicherung\Eigene Dateien\Uni\2. Master\SVP\Themen\Titrationen_Alltagschemie\Bilder\apfel2.jpg"/>
                    <pic:cNvPicPr>
                      <a:picLocks noChangeAspect="1" noChangeArrowheads="1"/>
                    </pic:cNvPicPr>
                  </pic:nvPicPr>
                  <pic:blipFill>
                    <a:blip r:embed="rId15" cstate="print"/>
                    <a:srcRect/>
                    <a:stretch>
                      <a:fillRect/>
                    </a:stretch>
                  </pic:blipFill>
                  <pic:spPr bwMode="auto">
                    <a:xfrm>
                      <a:off x="0" y="0"/>
                      <a:ext cx="1304684" cy="2241685"/>
                    </a:xfrm>
                    <a:prstGeom prst="rect">
                      <a:avLst/>
                    </a:prstGeom>
                    <a:noFill/>
                    <a:ln w="9525">
                      <a:noFill/>
                      <a:miter lim="800000"/>
                      <a:headEnd/>
                      <a:tailEnd/>
                    </a:ln>
                  </pic:spPr>
                </pic:pic>
              </a:graphicData>
            </a:graphic>
          </wp:inline>
        </w:drawing>
      </w:r>
      <w:r>
        <w:rPr>
          <w:noProof/>
          <w:lang w:eastAsia="ja-JP"/>
        </w:rPr>
        <w:drawing>
          <wp:inline distT="0" distB="0" distL="0" distR="0">
            <wp:extent cx="1318161" cy="2244436"/>
            <wp:effectExtent l="19050" t="0" r="0" b="0"/>
            <wp:docPr id="15" name="Bild 12" descr="D:\Sicherung\Eigene Dateien\Uni\2. Master\SVP\Themen\Titrationen_Alltagschemie\Bilder\apfel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Sicherung\Eigene Dateien\Uni\2. Master\SVP\Themen\Titrationen_Alltagschemie\Bilder\apfel3.jpg"/>
                    <pic:cNvPicPr>
                      <a:picLocks noChangeAspect="1" noChangeArrowheads="1"/>
                    </pic:cNvPicPr>
                  </pic:nvPicPr>
                  <pic:blipFill>
                    <a:blip r:embed="rId16" cstate="print"/>
                    <a:srcRect/>
                    <a:stretch>
                      <a:fillRect/>
                    </a:stretch>
                  </pic:blipFill>
                  <pic:spPr bwMode="auto">
                    <a:xfrm>
                      <a:off x="0" y="0"/>
                      <a:ext cx="1317426" cy="2243184"/>
                    </a:xfrm>
                    <a:prstGeom prst="rect">
                      <a:avLst/>
                    </a:prstGeom>
                    <a:noFill/>
                    <a:ln w="9525">
                      <a:noFill/>
                      <a:miter lim="800000"/>
                      <a:headEnd/>
                      <a:tailEnd/>
                    </a:ln>
                  </pic:spPr>
                </pic:pic>
              </a:graphicData>
            </a:graphic>
          </wp:inline>
        </w:drawing>
      </w:r>
      <w:r>
        <w:rPr>
          <w:noProof/>
          <w:lang w:eastAsia="ja-JP"/>
        </w:rPr>
        <w:drawing>
          <wp:inline distT="0" distB="0" distL="0" distR="0">
            <wp:extent cx="1465366" cy="2237034"/>
            <wp:effectExtent l="19050" t="0" r="1484" b="0"/>
            <wp:docPr id="17" name="Bild 13" descr="D:\Sicherung\Eigene Dateien\Uni\2. Master\SVP\Themen\Titrationen_Alltagschemie\Bilder\apfel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Sicherung\Eigene Dateien\Uni\2. Master\SVP\Themen\Titrationen_Alltagschemie\Bilder\apfel4.jpg"/>
                    <pic:cNvPicPr>
                      <a:picLocks noChangeAspect="1" noChangeArrowheads="1"/>
                    </pic:cNvPicPr>
                  </pic:nvPicPr>
                  <pic:blipFill>
                    <a:blip r:embed="rId17" cstate="print"/>
                    <a:srcRect/>
                    <a:stretch>
                      <a:fillRect/>
                    </a:stretch>
                  </pic:blipFill>
                  <pic:spPr bwMode="auto">
                    <a:xfrm>
                      <a:off x="0" y="0"/>
                      <a:ext cx="1478265" cy="2256726"/>
                    </a:xfrm>
                    <a:prstGeom prst="rect">
                      <a:avLst/>
                    </a:prstGeom>
                    <a:noFill/>
                    <a:ln w="9525">
                      <a:noFill/>
                      <a:miter lim="800000"/>
                      <a:headEnd/>
                      <a:tailEnd/>
                    </a:ln>
                  </pic:spPr>
                </pic:pic>
              </a:graphicData>
            </a:graphic>
          </wp:inline>
        </w:drawing>
      </w:r>
    </w:p>
    <w:p w:rsidR="007A5CD0" w:rsidRDefault="007A5CD0" w:rsidP="007A5CD0">
      <w:pPr>
        <w:pStyle w:val="Beschriftung"/>
        <w:jc w:val="left"/>
      </w:pPr>
      <w:r>
        <w:t xml:space="preserve">Abb. 4- </w:t>
      </w:r>
      <w:r>
        <w:rPr>
          <w:noProof/>
        </w:rPr>
        <w:t xml:space="preserve"> Einzelne Schritte bei der Bestimmung von Zucker mittels Rücktitration von Iod mit Natrimthiosulfat</w:t>
      </w:r>
    </w:p>
    <w:p w:rsidR="007A5CD0" w:rsidRDefault="007A5CD0" w:rsidP="007A5CD0">
      <w:pPr>
        <w:tabs>
          <w:tab w:val="left" w:pos="1701"/>
          <w:tab w:val="left" w:pos="1985"/>
        </w:tabs>
        <w:ind w:left="1980" w:hanging="1980"/>
      </w:pPr>
      <w:r>
        <w:rPr>
          <w:noProof/>
          <w:lang w:eastAsia="ja-JP"/>
        </w:rPr>
        <w:drawing>
          <wp:anchor distT="0" distB="0" distL="114300" distR="114300" simplePos="0" relativeHeight="251661312" behindDoc="1" locked="0" layoutInCell="1" allowOverlap="1">
            <wp:simplePos x="0" y="0"/>
            <wp:positionH relativeFrom="column">
              <wp:posOffset>1196975</wp:posOffset>
            </wp:positionH>
            <wp:positionV relativeFrom="paragraph">
              <wp:posOffset>494030</wp:posOffset>
            </wp:positionV>
            <wp:extent cx="4516755" cy="284480"/>
            <wp:effectExtent l="19050" t="0" r="0" b="0"/>
            <wp:wrapTight wrapText="bothSides">
              <wp:wrapPolygon edited="0">
                <wp:start x="-91" y="0"/>
                <wp:lineTo x="-91" y="20250"/>
                <wp:lineTo x="21591" y="20250"/>
                <wp:lineTo x="21591" y="0"/>
                <wp:lineTo x="-91" y="0"/>
              </wp:wrapPolygon>
            </wp:wrapTight>
            <wp:docPr id="42" name="Bild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 cstate="print"/>
                    <a:srcRect/>
                    <a:stretch>
                      <a:fillRect/>
                    </a:stretch>
                  </pic:blipFill>
                  <pic:spPr bwMode="auto">
                    <a:xfrm>
                      <a:off x="0" y="0"/>
                      <a:ext cx="4516755" cy="284480"/>
                    </a:xfrm>
                    <a:prstGeom prst="rect">
                      <a:avLst/>
                    </a:prstGeom>
                    <a:noFill/>
                    <a:ln w="9525">
                      <a:noFill/>
                      <a:miter lim="800000"/>
                      <a:headEnd/>
                      <a:tailEnd/>
                    </a:ln>
                  </pic:spPr>
                </pic:pic>
              </a:graphicData>
            </a:graphic>
          </wp:anchor>
        </w:drawing>
      </w:r>
      <w:r>
        <w:t>Deutung:</w:t>
      </w:r>
      <w:r>
        <w:tab/>
      </w:r>
      <w:r>
        <w:tab/>
        <w:t>Der Zucker wird durch das Kupfer oxidiert zu R-COOH und das Kupfer bei dem Prozess reduziert zu Kupfer(I)-Oxid (orange).</w:t>
      </w:r>
    </w:p>
    <w:p w:rsidR="007A5CD0" w:rsidRDefault="007A5CD0" w:rsidP="007A5CD0">
      <w:pPr>
        <w:tabs>
          <w:tab w:val="left" w:pos="1701"/>
          <w:tab w:val="left" w:pos="1985"/>
        </w:tabs>
        <w:ind w:left="1980" w:hanging="1980"/>
      </w:pPr>
    </w:p>
    <w:p w:rsidR="007A5CD0" w:rsidRDefault="007A5CD0" w:rsidP="007A5CD0">
      <w:pPr>
        <w:tabs>
          <w:tab w:val="left" w:pos="1701"/>
          <w:tab w:val="left" w:pos="1985"/>
        </w:tabs>
        <w:ind w:left="1980" w:hanging="1980"/>
      </w:pPr>
      <w:r>
        <w:rPr>
          <w:noProof/>
          <w:lang w:eastAsia="ja-JP"/>
        </w:rPr>
        <w:drawing>
          <wp:anchor distT="0" distB="0" distL="114300" distR="114300" simplePos="0" relativeHeight="251662336" behindDoc="1" locked="0" layoutInCell="1" allowOverlap="1">
            <wp:simplePos x="0" y="0"/>
            <wp:positionH relativeFrom="column">
              <wp:posOffset>1202055</wp:posOffset>
            </wp:positionH>
            <wp:positionV relativeFrom="paragraph">
              <wp:posOffset>544195</wp:posOffset>
            </wp:positionV>
            <wp:extent cx="1994535" cy="280035"/>
            <wp:effectExtent l="0" t="0" r="0" b="0"/>
            <wp:wrapTight wrapText="bothSides">
              <wp:wrapPolygon edited="0">
                <wp:start x="0" y="0"/>
                <wp:lineTo x="0" y="20571"/>
                <wp:lineTo x="21456" y="20571"/>
                <wp:lineTo x="21456" y="0"/>
                <wp:lineTo x="0" y="0"/>
              </wp:wrapPolygon>
            </wp:wrapTight>
            <wp:docPr id="58" name="Bild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9" cstate="print"/>
                    <a:srcRect/>
                    <a:stretch>
                      <a:fillRect/>
                    </a:stretch>
                  </pic:blipFill>
                  <pic:spPr bwMode="auto">
                    <a:xfrm>
                      <a:off x="0" y="0"/>
                      <a:ext cx="1994535" cy="280035"/>
                    </a:xfrm>
                    <a:prstGeom prst="rect">
                      <a:avLst/>
                    </a:prstGeom>
                    <a:noFill/>
                    <a:ln w="9525">
                      <a:noFill/>
                      <a:miter lim="800000"/>
                      <a:headEnd/>
                      <a:tailEnd/>
                    </a:ln>
                  </pic:spPr>
                </pic:pic>
              </a:graphicData>
            </a:graphic>
          </wp:anchor>
        </w:drawing>
      </w:r>
      <w:r>
        <w:tab/>
      </w:r>
      <w:r>
        <w:tab/>
        <w:t>Bei der Zugabe des Iodids reagiert es mit den noch vorhandenen Ku</w:t>
      </w:r>
      <w:r>
        <w:t>p</w:t>
      </w:r>
      <w:r>
        <w:t>fer(II)-Ionen erst zu CuI</w:t>
      </w:r>
      <w:r w:rsidRPr="00245AAE">
        <w:rPr>
          <w:vertAlign w:val="subscript"/>
        </w:rPr>
        <w:t>2</w:t>
      </w:r>
      <w:r>
        <w:t>, welches aber sofort zu CuI und I</w:t>
      </w:r>
      <w:r w:rsidRPr="00245AAE">
        <w:rPr>
          <w:vertAlign w:val="subscript"/>
        </w:rPr>
        <w:t>2</w:t>
      </w:r>
      <w:r>
        <w:t xml:space="preserve"> zerfällt.</w:t>
      </w:r>
    </w:p>
    <w:p w:rsidR="007A5CD0" w:rsidRDefault="007A5CD0" w:rsidP="007A5CD0">
      <w:pPr>
        <w:tabs>
          <w:tab w:val="left" w:pos="1701"/>
          <w:tab w:val="left" w:pos="1985"/>
        </w:tabs>
        <w:ind w:left="1980" w:hanging="1980"/>
      </w:pPr>
      <w:r>
        <w:rPr>
          <w:noProof/>
          <w:lang w:eastAsia="ja-JP"/>
        </w:rPr>
        <w:drawing>
          <wp:anchor distT="0" distB="0" distL="114300" distR="114300" simplePos="0" relativeHeight="251663360" behindDoc="1" locked="0" layoutInCell="1" allowOverlap="1">
            <wp:simplePos x="0" y="0"/>
            <wp:positionH relativeFrom="column">
              <wp:posOffset>1202055</wp:posOffset>
            </wp:positionH>
            <wp:positionV relativeFrom="paragraph">
              <wp:posOffset>317500</wp:posOffset>
            </wp:positionV>
            <wp:extent cx="1828800" cy="260985"/>
            <wp:effectExtent l="0" t="0" r="0" b="0"/>
            <wp:wrapTight wrapText="bothSides">
              <wp:wrapPolygon edited="0">
                <wp:start x="0" y="0"/>
                <wp:lineTo x="0" y="20496"/>
                <wp:lineTo x="21375" y="20496"/>
                <wp:lineTo x="21375" y="0"/>
                <wp:lineTo x="0" y="0"/>
              </wp:wrapPolygon>
            </wp:wrapTight>
            <wp:docPr id="59" name="Bild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0" cstate="print"/>
                    <a:srcRect/>
                    <a:stretch>
                      <a:fillRect/>
                    </a:stretch>
                  </pic:blipFill>
                  <pic:spPr bwMode="auto">
                    <a:xfrm>
                      <a:off x="0" y="0"/>
                      <a:ext cx="1828800" cy="260985"/>
                    </a:xfrm>
                    <a:prstGeom prst="rect">
                      <a:avLst/>
                    </a:prstGeom>
                    <a:noFill/>
                    <a:ln w="9525">
                      <a:noFill/>
                      <a:miter lim="800000"/>
                      <a:headEnd/>
                      <a:tailEnd/>
                    </a:ln>
                  </pic:spPr>
                </pic:pic>
              </a:graphicData>
            </a:graphic>
          </wp:anchor>
        </w:drawing>
      </w:r>
    </w:p>
    <w:p w:rsidR="007A5CD0" w:rsidRDefault="007A5CD0" w:rsidP="007A5CD0">
      <w:pPr>
        <w:tabs>
          <w:tab w:val="left" w:pos="1701"/>
          <w:tab w:val="left" w:pos="1985"/>
        </w:tabs>
        <w:ind w:left="1980"/>
      </w:pPr>
      <w:r>
        <w:tab/>
      </w:r>
    </w:p>
    <w:p w:rsidR="007A5CD0" w:rsidRDefault="007A5CD0" w:rsidP="007A5CD0">
      <w:pPr>
        <w:tabs>
          <w:tab w:val="left" w:pos="1701"/>
          <w:tab w:val="left" w:pos="1985"/>
        </w:tabs>
        <w:ind w:left="1980"/>
      </w:pPr>
      <w:r>
        <w:t>Das I</w:t>
      </w:r>
      <w:r w:rsidRPr="0063090D">
        <w:rPr>
          <w:vertAlign w:val="subscript"/>
        </w:rPr>
        <w:t>2</w:t>
      </w:r>
      <w:r>
        <w:t xml:space="preserve"> kann über das Natriumthiosulfat zu NaI reduziert und damit über das Auflösen der Farbe nachgewiesen werden.</w:t>
      </w:r>
    </w:p>
    <w:p w:rsidR="007A5CD0" w:rsidRDefault="007A5CD0" w:rsidP="007A5CD0">
      <w:pPr>
        <w:tabs>
          <w:tab w:val="left" w:pos="1701"/>
          <w:tab w:val="left" w:pos="1985"/>
        </w:tabs>
        <w:ind w:left="1980"/>
      </w:pPr>
      <w:r>
        <w:rPr>
          <w:noProof/>
          <w:lang w:eastAsia="ja-JP"/>
        </w:rPr>
        <w:drawing>
          <wp:anchor distT="0" distB="0" distL="114300" distR="114300" simplePos="0" relativeHeight="251664384" behindDoc="1" locked="0" layoutInCell="1" allowOverlap="1">
            <wp:simplePos x="0" y="0"/>
            <wp:positionH relativeFrom="column">
              <wp:posOffset>1202055</wp:posOffset>
            </wp:positionH>
            <wp:positionV relativeFrom="paragraph">
              <wp:posOffset>82550</wp:posOffset>
            </wp:positionV>
            <wp:extent cx="2362835" cy="373380"/>
            <wp:effectExtent l="0" t="0" r="0" b="0"/>
            <wp:wrapTight wrapText="bothSides">
              <wp:wrapPolygon edited="0">
                <wp:start x="0" y="0"/>
                <wp:lineTo x="0" y="20939"/>
                <wp:lineTo x="21420" y="20939"/>
                <wp:lineTo x="21420" y="0"/>
                <wp:lineTo x="0" y="0"/>
              </wp:wrapPolygon>
            </wp:wrapTight>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62835" cy="373380"/>
                    </a:xfrm>
                    <a:prstGeom prst="rect">
                      <a:avLst/>
                    </a:prstGeom>
                    <a:noFill/>
                    <a:ln>
                      <a:noFill/>
                    </a:ln>
                  </pic:spPr>
                </pic:pic>
              </a:graphicData>
            </a:graphic>
          </wp:anchor>
        </w:drawing>
      </w:r>
    </w:p>
    <w:p w:rsidR="007A5CD0" w:rsidRDefault="007A5CD0" w:rsidP="007A5CD0">
      <w:pPr>
        <w:tabs>
          <w:tab w:val="left" w:pos="1701"/>
          <w:tab w:val="left" w:pos="1985"/>
        </w:tabs>
      </w:pPr>
    </w:p>
    <w:p w:rsidR="007A5CD0" w:rsidRDefault="007A5CD0" w:rsidP="007A5CD0">
      <w:pPr>
        <w:tabs>
          <w:tab w:val="left" w:pos="1701"/>
          <w:tab w:val="left" w:pos="1985"/>
        </w:tabs>
        <w:rPr>
          <w:rFonts w:asciiTheme="majorHAnsi" w:hAnsiTheme="majorHAnsi"/>
        </w:rPr>
      </w:pPr>
      <w:r>
        <w:rPr>
          <w:rFonts w:asciiTheme="majorHAnsi" w:hAnsiTheme="majorHAnsi"/>
        </w:rPr>
        <w:t>Entsorgung:</w:t>
      </w:r>
      <w:r>
        <w:rPr>
          <w:rFonts w:asciiTheme="majorHAnsi" w:hAnsiTheme="majorHAnsi"/>
        </w:rPr>
        <w:tab/>
      </w:r>
      <w:r>
        <w:rPr>
          <w:rFonts w:asciiTheme="majorHAnsi" w:hAnsiTheme="majorHAnsi"/>
        </w:rPr>
        <w:tab/>
        <w:t>Die Lösung wird über den Behälter für Schwermetalle entsorgt.</w:t>
      </w:r>
      <w:r>
        <w:rPr>
          <w:rFonts w:asciiTheme="majorHAnsi" w:hAnsiTheme="majorHAnsi"/>
        </w:rPr>
        <w:tab/>
      </w:r>
    </w:p>
    <w:p w:rsidR="007A5CD0" w:rsidRPr="00427AEF" w:rsidRDefault="007A5CD0" w:rsidP="007A5CD0">
      <w:pPr>
        <w:tabs>
          <w:tab w:val="left" w:pos="1701"/>
          <w:tab w:val="left" w:pos="1985"/>
        </w:tabs>
        <w:ind w:left="1980" w:hanging="1980"/>
        <w:rPr>
          <w:rFonts w:asciiTheme="majorHAnsi" w:hAnsiTheme="majorHAnsi"/>
        </w:rPr>
      </w:pPr>
      <w:r w:rsidRPr="00566794">
        <w:rPr>
          <w:rFonts w:asciiTheme="majorHAnsi" w:hAnsiTheme="majorHAnsi"/>
        </w:rPr>
        <w:t xml:space="preserve">Literatur: </w:t>
      </w:r>
      <w:r w:rsidRPr="00566794">
        <w:rPr>
          <w:rFonts w:asciiTheme="majorHAnsi" w:hAnsiTheme="majorHAnsi"/>
        </w:rPr>
        <w:tab/>
      </w:r>
      <w:r w:rsidRPr="00566794">
        <w:rPr>
          <w:rFonts w:asciiTheme="majorHAnsi" w:hAnsiTheme="majorHAnsi"/>
        </w:rPr>
        <w:tab/>
        <w:t xml:space="preserve">Gordon, C., Ansari, S. (2012). </w:t>
      </w:r>
      <w:r w:rsidRPr="00427AEF">
        <w:rPr>
          <w:rFonts w:asciiTheme="majorHAnsi" w:hAnsiTheme="majorHAnsi"/>
        </w:rPr>
        <w:t>Mettler Toledo – Leitfaden zur B</w:t>
      </w:r>
      <w:r>
        <w:rPr>
          <w:rFonts w:asciiTheme="majorHAnsi" w:hAnsiTheme="majorHAnsi"/>
        </w:rPr>
        <w:t xml:space="preserve">estimmung des Zuckergehalts. </w:t>
      </w:r>
      <w:hyperlink r:id="rId22" w:history="1">
        <w:r w:rsidRPr="00022F0A">
          <w:rPr>
            <w:rStyle w:val="Hyperlink"/>
            <w:rFonts w:asciiTheme="majorHAnsi" w:hAnsiTheme="majorHAnsi"/>
          </w:rPr>
          <w:t>www.mt.com</w:t>
        </w:r>
      </w:hyperlink>
      <w:r>
        <w:rPr>
          <w:rFonts w:asciiTheme="majorHAnsi" w:hAnsiTheme="majorHAnsi"/>
        </w:rPr>
        <w:t>, zuletzt aufgerufen am 18.08.2014</w:t>
      </w:r>
    </w:p>
    <w:p w:rsidR="007A5CD0" w:rsidRPr="00427AEF" w:rsidRDefault="007A5CD0" w:rsidP="007A5CD0">
      <w:pPr>
        <w:tabs>
          <w:tab w:val="left" w:pos="1701"/>
          <w:tab w:val="left" w:pos="1985"/>
        </w:tabs>
        <w:ind w:left="1701"/>
        <w:rPr>
          <w:rFonts w:eastAsiaTheme="minorEastAsia"/>
        </w:rPr>
      </w:pPr>
    </w:p>
    <w:p w:rsidR="007A5CD0" w:rsidRPr="006E32AF" w:rsidRDefault="007A5CD0" w:rsidP="007A5CD0">
      <w:pPr>
        <w:tabs>
          <w:tab w:val="left" w:pos="1701"/>
          <w:tab w:val="left" w:pos="1985"/>
        </w:tabs>
        <w:ind w:left="1980" w:hanging="1980"/>
        <w:rPr>
          <w:rFonts w:eastAsiaTheme="minorEastAsia"/>
        </w:rPr>
      </w:pPr>
      <w:r w:rsidRPr="003D44F5">
        <w:rPr>
          <w:noProof/>
          <w:lang w:eastAsia="ja-JP"/>
        </w:rPr>
      </w:r>
      <w:r w:rsidRPr="003D44F5">
        <w:rPr>
          <w:noProof/>
          <w:lang w:eastAsia="ja-JP"/>
        </w:rPr>
        <w:pict>
          <v:shape id="Text Box 160" o:spid="_x0000_s1026" type="#_x0000_t202" style="width:462.45pt;height:101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" fillcolor="white [3201]" strokecolor="#c0504d [3205]" strokeweight="1pt">
            <v:stroke dashstyle="dash"/>
            <v:shadow color="#868686"/>
            <v:textbox>
              <w:txbxContent>
                <w:p w:rsidR="007A5CD0" w:rsidRPr="000D10FB" w:rsidRDefault="007A5CD0" w:rsidP="007A5CD0">
                  <w:pPr>
                    <w:rPr>
                      <w:color w:val="1F497D" w:themeColor="text2"/>
                    </w:rPr>
                  </w:pPr>
                  <w:r>
                    <w:rPr>
                      <w:b/>
                      <w:color w:val="1F497D" w:themeColor="text2"/>
                    </w:rPr>
                    <w:t>U</w:t>
                  </w:r>
                  <w:r w:rsidRPr="000D10FB">
                    <w:rPr>
                      <w:b/>
                      <w:color w:val="1F497D" w:themeColor="text2"/>
                    </w:rPr>
                    <w:t xml:space="preserve">nterrichtsanschlüsse </w:t>
                  </w:r>
                  <w:r w:rsidRPr="00866371">
                    <w:rPr>
                      <w:color w:val="1F497D" w:themeColor="text2"/>
                    </w:rPr>
                    <w:t>Dieser</w:t>
                  </w:r>
                  <w:r>
                    <w:rPr>
                      <w:color w:val="1F497D" w:themeColor="text2"/>
                    </w:rPr>
                    <w:t xml:space="preserve"> Versuch ist muss mit Bedacht ausgewertet und erklärt werden, da die einzelnen Prozesse, die zu der Gesamtreaktion beitragen, teilweise bereits einzeln für die SuS unübersichtlich sein können und die Erklärung damit viel Zeit kosten kann. Dieser Ve</w:t>
                  </w:r>
                  <w:r>
                    <w:rPr>
                      <w:color w:val="1F497D" w:themeColor="text2"/>
                    </w:rPr>
                    <w:t>r</w:t>
                  </w:r>
                  <w:r>
                    <w:rPr>
                      <w:color w:val="1F497D" w:themeColor="text2"/>
                    </w:rPr>
                    <w:t>such eignet sich auch gut für den Übergang zu bzw. innerhalb einer Einheit über Zucker bzw. organische Chemie.</w:t>
                  </w:r>
                </w:p>
              </w:txbxContent>
            </v:textbox>
            <w10:wrap type="none"/>
            <w10:anchorlock/>
          </v:shape>
        </w:pict>
      </w:r>
    </w:p>
    <w:p w:rsidR="00294EC1" w:rsidRDefault="00294EC1">
      <w:pPr>
        <w:rPr>
          <w:rFonts w:hint="eastAsia"/>
        </w:rPr>
      </w:pPr>
    </w:p>
    <w:sectPr w:rsidR="00294EC1" w:rsidSect="00294EC1">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Math">
    <w:panose1 w:val="02040503050406030204"/>
    <w:charset w:val="00"/>
    <w:family w:val="roman"/>
    <w:pitch w:val="variable"/>
    <w:sig w:usb0="A00002EF" w:usb1="420020E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characterSpacingControl w:val="doNotCompress"/>
  <w:compat>
    <w:useFELayout/>
  </w:compat>
  <w:rsids>
    <w:rsidRoot w:val="007A5CD0"/>
    <w:rsid w:val="00294EC1"/>
    <w:rsid w:val="0033527F"/>
    <w:rsid w:val="00381846"/>
    <w:rsid w:val="007A5CD0"/>
    <w:rsid w:val="00A775C6"/>
    <w:rsid w:val="00CE2944"/>
  </w:rsids>
  <m:mathPr>
    <m:mathFont m:val="Cambria Math"/>
    <m:brkBin m:val="before"/>
    <m:brkBinSub m:val="--"/>
    <m:smallFrac m:val="off"/>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Math" w:eastAsiaTheme="minorEastAsia" w:hAnsi="Cambria Math" w:cs="Times New Roman"/>
        <w:sz w:val="24"/>
        <w:szCs w:val="24"/>
        <w:lang w:val="de-DE"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A5CD0"/>
    <w:pPr>
      <w:spacing w:line="360" w:lineRule="auto"/>
      <w:jc w:val="both"/>
    </w:pPr>
    <w:rPr>
      <w:rFonts w:ascii="Cambria" w:eastAsiaTheme="minorHAnsi" w:hAnsi="Cambria" w:cstheme="minorBidi"/>
      <w:color w:val="1D1B11" w:themeColor="background2" w:themeShade="1A"/>
      <w:sz w:val="22"/>
      <w:szCs w:val="22"/>
      <w:lang w:eastAsia="en-US"/>
    </w:rPr>
  </w:style>
  <w:style w:type="paragraph" w:styleId="berschrift1">
    <w:name w:val="heading 1"/>
    <w:basedOn w:val="Standard"/>
    <w:next w:val="Standard"/>
    <w:link w:val="berschrift1Zchn"/>
    <w:uiPriority w:val="9"/>
    <w:qFormat/>
    <w:rsid w:val="007A5CD0"/>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7A5CD0"/>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7A5CD0"/>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7A5CD0"/>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7A5CD0"/>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7A5CD0"/>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A5CD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A5CD0"/>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A5CD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A5CD0"/>
    <w:rPr>
      <w:rFonts w:asciiTheme="majorHAnsi" w:eastAsiaTheme="majorEastAsia" w:hAnsiTheme="majorHAnsi" w:cstheme="majorBidi"/>
      <w:b/>
      <w:bCs/>
      <w:color w:val="1D1B11" w:themeColor="background2" w:themeShade="1A"/>
      <w:sz w:val="28"/>
      <w:szCs w:val="28"/>
      <w:lang w:eastAsia="en-US"/>
    </w:rPr>
  </w:style>
  <w:style w:type="character" w:customStyle="1" w:styleId="berschrift2Zchn">
    <w:name w:val="Überschrift 2 Zchn"/>
    <w:basedOn w:val="Absatz-Standardschriftart"/>
    <w:link w:val="berschrift2"/>
    <w:uiPriority w:val="9"/>
    <w:rsid w:val="007A5CD0"/>
    <w:rPr>
      <w:rFonts w:asciiTheme="majorHAnsi" w:eastAsiaTheme="majorEastAsia" w:hAnsiTheme="majorHAnsi" w:cstheme="majorBidi"/>
      <w:b/>
      <w:bCs/>
      <w:color w:val="1D1B11" w:themeColor="background2" w:themeShade="1A"/>
      <w:sz w:val="22"/>
      <w:szCs w:val="26"/>
      <w:lang w:eastAsia="en-US"/>
    </w:rPr>
  </w:style>
  <w:style w:type="character" w:customStyle="1" w:styleId="berschrift3Zchn">
    <w:name w:val="Überschrift 3 Zchn"/>
    <w:basedOn w:val="Absatz-Standardschriftart"/>
    <w:link w:val="berschrift3"/>
    <w:uiPriority w:val="9"/>
    <w:rsid w:val="007A5CD0"/>
    <w:rPr>
      <w:rFonts w:asciiTheme="majorHAnsi" w:eastAsiaTheme="majorEastAsia" w:hAnsiTheme="majorHAnsi" w:cstheme="majorBidi"/>
      <w:b/>
      <w:bCs/>
      <w:i/>
      <w:color w:val="1D1B11" w:themeColor="background2" w:themeShade="1A"/>
      <w:sz w:val="22"/>
      <w:szCs w:val="22"/>
      <w:lang w:eastAsia="en-US"/>
    </w:rPr>
  </w:style>
  <w:style w:type="character" w:customStyle="1" w:styleId="berschrift4Zchn">
    <w:name w:val="Überschrift 4 Zchn"/>
    <w:basedOn w:val="Absatz-Standardschriftart"/>
    <w:link w:val="berschrift4"/>
    <w:uiPriority w:val="9"/>
    <w:semiHidden/>
    <w:rsid w:val="007A5CD0"/>
    <w:rPr>
      <w:rFonts w:asciiTheme="majorHAnsi" w:eastAsiaTheme="majorEastAsia" w:hAnsiTheme="majorHAnsi" w:cstheme="majorBidi"/>
      <w:b/>
      <w:bCs/>
      <w:i/>
      <w:iCs/>
      <w:color w:val="4F81BD" w:themeColor="accent1"/>
      <w:sz w:val="22"/>
      <w:szCs w:val="22"/>
      <w:lang w:eastAsia="en-US"/>
    </w:rPr>
  </w:style>
  <w:style w:type="character" w:customStyle="1" w:styleId="berschrift5Zchn">
    <w:name w:val="Überschrift 5 Zchn"/>
    <w:basedOn w:val="Absatz-Standardschriftart"/>
    <w:link w:val="berschrift5"/>
    <w:uiPriority w:val="9"/>
    <w:semiHidden/>
    <w:rsid w:val="007A5CD0"/>
    <w:rPr>
      <w:rFonts w:asciiTheme="majorHAnsi" w:eastAsiaTheme="majorEastAsia" w:hAnsiTheme="majorHAnsi" w:cstheme="majorBidi"/>
      <w:color w:val="243F60" w:themeColor="accent1" w:themeShade="7F"/>
      <w:sz w:val="22"/>
      <w:szCs w:val="22"/>
      <w:lang w:eastAsia="en-US"/>
    </w:rPr>
  </w:style>
  <w:style w:type="character" w:customStyle="1" w:styleId="berschrift6Zchn">
    <w:name w:val="Überschrift 6 Zchn"/>
    <w:basedOn w:val="Absatz-Standardschriftart"/>
    <w:link w:val="berschrift6"/>
    <w:uiPriority w:val="9"/>
    <w:semiHidden/>
    <w:rsid w:val="007A5CD0"/>
    <w:rPr>
      <w:rFonts w:asciiTheme="majorHAnsi" w:eastAsiaTheme="majorEastAsia" w:hAnsiTheme="majorHAnsi" w:cstheme="majorBidi"/>
      <w:i/>
      <w:iCs/>
      <w:color w:val="243F60" w:themeColor="accent1" w:themeShade="7F"/>
      <w:sz w:val="22"/>
      <w:szCs w:val="22"/>
      <w:lang w:eastAsia="en-US"/>
    </w:rPr>
  </w:style>
  <w:style w:type="character" w:customStyle="1" w:styleId="berschrift7Zchn">
    <w:name w:val="Überschrift 7 Zchn"/>
    <w:basedOn w:val="Absatz-Standardschriftart"/>
    <w:link w:val="berschrift7"/>
    <w:uiPriority w:val="9"/>
    <w:semiHidden/>
    <w:rsid w:val="007A5CD0"/>
    <w:rPr>
      <w:rFonts w:asciiTheme="majorHAnsi" w:eastAsiaTheme="majorEastAsia" w:hAnsiTheme="majorHAnsi" w:cstheme="majorBidi"/>
      <w:i/>
      <w:iCs/>
      <w:color w:val="404040" w:themeColor="text1" w:themeTint="BF"/>
      <w:sz w:val="22"/>
      <w:szCs w:val="22"/>
      <w:lang w:eastAsia="en-US"/>
    </w:rPr>
  </w:style>
  <w:style w:type="character" w:customStyle="1" w:styleId="berschrift8Zchn">
    <w:name w:val="Überschrift 8 Zchn"/>
    <w:basedOn w:val="Absatz-Standardschriftart"/>
    <w:link w:val="berschrift8"/>
    <w:uiPriority w:val="9"/>
    <w:semiHidden/>
    <w:rsid w:val="007A5CD0"/>
    <w:rPr>
      <w:rFonts w:asciiTheme="majorHAnsi" w:eastAsiaTheme="majorEastAsia" w:hAnsiTheme="majorHAnsi" w:cstheme="majorBidi"/>
      <w:color w:val="404040" w:themeColor="text1" w:themeTint="BF"/>
      <w:sz w:val="20"/>
      <w:szCs w:val="20"/>
      <w:lang w:eastAsia="en-US"/>
    </w:rPr>
  </w:style>
  <w:style w:type="character" w:customStyle="1" w:styleId="berschrift9Zchn">
    <w:name w:val="Überschrift 9 Zchn"/>
    <w:basedOn w:val="Absatz-Standardschriftart"/>
    <w:link w:val="berschrift9"/>
    <w:uiPriority w:val="9"/>
    <w:semiHidden/>
    <w:rsid w:val="007A5CD0"/>
    <w:rPr>
      <w:rFonts w:asciiTheme="majorHAnsi" w:eastAsiaTheme="majorEastAsia" w:hAnsiTheme="majorHAnsi" w:cstheme="majorBidi"/>
      <w:i/>
      <w:iCs/>
      <w:color w:val="404040" w:themeColor="text1" w:themeTint="BF"/>
      <w:sz w:val="20"/>
      <w:szCs w:val="20"/>
      <w:lang w:eastAsia="en-US"/>
    </w:rPr>
  </w:style>
  <w:style w:type="paragraph" w:styleId="Beschriftung">
    <w:name w:val="caption"/>
    <w:basedOn w:val="Standard"/>
    <w:next w:val="Standard"/>
    <w:uiPriority w:val="35"/>
    <w:unhideWhenUsed/>
    <w:qFormat/>
    <w:rsid w:val="007A5CD0"/>
    <w:pPr>
      <w:spacing w:line="240" w:lineRule="auto"/>
    </w:pPr>
    <w:rPr>
      <w:bCs/>
      <w:color w:val="auto"/>
      <w:sz w:val="18"/>
      <w:szCs w:val="18"/>
    </w:rPr>
  </w:style>
  <w:style w:type="character" w:styleId="Hyperlink">
    <w:name w:val="Hyperlink"/>
    <w:basedOn w:val="Absatz-Standardschriftart"/>
    <w:uiPriority w:val="99"/>
    <w:unhideWhenUsed/>
    <w:rsid w:val="007A5CD0"/>
    <w:rPr>
      <w:color w:val="0000FF" w:themeColor="hyperlink"/>
      <w:u w:val="single"/>
    </w:rPr>
  </w:style>
  <w:style w:type="paragraph" w:styleId="Sprechblasentext">
    <w:name w:val="Balloon Text"/>
    <w:basedOn w:val="Standard"/>
    <w:link w:val="SprechblasentextZchn"/>
    <w:uiPriority w:val="99"/>
    <w:semiHidden/>
    <w:unhideWhenUsed/>
    <w:rsid w:val="007A5CD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A5CD0"/>
    <w:rPr>
      <w:rFonts w:ascii="Tahoma" w:eastAsiaTheme="minorHAnsi" w:hAnsi="Tahoma" w:cs="Tahoma"/>
      <w:color w:val="1D1B11" w:themeColor="background2" w:themeShade="1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jpeg"/><Relationship Id="rId23"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hyperlink" Target="http://www.mt.co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275</Words>
  <Characters>1736</Characters>
  <Application>Microsoft Office Word</Application>
  <DocSecurity>0</DocSecurity>
  <Lines>14</Lines>
  <Paragraphs>4</Paragraphs>
  <ScaleCrop>false</ScaleCrop>
  <Company/>
  <LinksUpToDate>false</LinksUpToDate>
  <CharactersWithSpaces>2007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Flops</dc:creator>
  <cp:keywords/>
  <dc:description/>
  <cp:lastModifiedBy>Flops</cp:lastModifiedBy>
  <cp:revision>2</cp:revision>
  <dcterms:created xsi:type="dcterms:W3CDTF">2014-08-27T11:52:00Z</dcterms:created>
  <dcterms:modified xsi:type="dcterms:W3CDTF">2014-08-27T11:53:00Z</dcterms:modified>
</cp:coreProperties>
</file>