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CD" w:rsidRPr="00905ECD" w:rsidRDefault="00197A92" w:rsidP="00905ECD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.05pt;margin-top:57.25pt;width:462.45pt;height:4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905ECD" w:rsidRPr="009368EE" w:rsidRDefault="00905ECD" w:rsidP="00905EC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bietet eine Alternative zum klassischen Jod-Stärke-Nachweis und erweitert damit das Spektrum der Nachweisreaktionen.</w:t>
                  </w:r>
                </w:p>
              </w:txbxContent>
            </v:textbox>
            <w10:wrap type="square"/>
          </v:shape>
        </w:pict>
      </w:r>
      <w:bookmarkStart w:id="0" w:name="_Toc396168469"/>
      <w:r w:rsidR="00905ECD" w:rsidRPr="00905ECD">
        <w:rPr>
          <w:b/>
          <w:color w:val="auto"/>
        </w:rPr>
        <w:t>V 1 – Jodat-Nachweis in jodiertem Speisesalz</w:t>
      </w:r>
      <w:bookmarkEnd w:id="0"/>
    </w:p>
    <w:p w:rsidR="00905ECD" w:rsidRDefault="00905ECD" w:rsidP="00905EC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05ECD" w:rsidRPr="00CD03BD" w:rsidTr="003E1E54">
        <w:tc>
          <w:tcPr>
            <w:tcW w:w="9322" w:type="dxa"/>
            <w:gridSpan w:val="9"/>
            <w:shd w:val="clear" w:color="auto" w:fill="4F81BD"/>
            <w:vAlign w:val="center"/>
          </w:tcPr>
          <w:p w:rsidR="00905ECD" w:rsidRPr="00CD03BD" w:rsidRDefault="00905ECD" w:rsidP="003E1E54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905ECD" w:rsidRPr="00CD03BD" w:rsidTr="003E1E5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jodiertes Speisesalz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905ECD" w:rsidRPr="00CD03BD" w:rsidTr="003E1E5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Chloroform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05ECD" w:rsidRPr="00CD03BD" w:rsidRDefault="00905ECD" w:rsidP="003E1E54">
            <w:pPr>
              <w:pStyle w:val="Beschriftung"/>
              <w:spacing w:after="0"/>
              <w:jc w:val="center"/>
              <w:rPr>
                <w:sz w:val="20"/>
              </w:rPr>
            </w:pPr>
            <w:r w:rsidRPr="00846E54">
              <w:rPr>
                <w:sz w:val="20"/>
              </w:rPr>
              <w:t>H351 H302 H373 H315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05ECD" w:rsidRPr="00CD03BD" w:rsidRDefault="00905ECD" w:rsidP="003E1E54">
            <w:pPr>
              <w:pStyle w:val="Beschriftung"/>
              <w:spacing w:after="0"/>
              <w:jc w:val="center"/>
              <w:rPr>
                <w:sz w:val="20"/>
              </w:rPr>
            </w:pPr>
            <w:r w:rsidRPr="00846E54">
              <w:rPr>
                <w:sz w:val="20"/>
              </w:rPr>
              <w:t xml:space="preserve">P302+P352 P314 </w:t>
            </w:r>
          </w:p>
        </w:tc>
      </w:tr>
      <w:tr w:rsidR="00905ECD" w:rsidRPr="00CD03BD" w:rsidTr="003E1E5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05ECD" w:rsidRDefault="00905ECD" w:rsidP="003E1E54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konz. Salzsäure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05ECD" w:rsidRPr="0040597A" w:rsidRDefault="00905ECD" w:rsidP="003E1E54">
            <w:pPr>
              <w:pStyle w:val="Beschriftung"/>
              <w:spacing w:after="0"/>
              <w:jc w:val="center"/>
              <w:rPr>
                <w:sz w:val="20"/>
              </w:rPr>
            </w:pPr>
            <w:r w:rsidRPr="00846E54">
              <w:rPr>
                <w:sz w:val="20"/>
              </w:rPr>
              <w:t xml:space="preserve">H314 H335 H290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05ECD" w:rsidRPr="0040597A" w:rsidRDefault="00905ECD" w:rsidP="003E1E54">
            <w:pPr>
              <w:pStyle w:val="Beschriftung"/>
              <w:spacing w:after="0"/>
              <w:jc w:val="center"/>
              <w:rPr>
                <w:sz w:val="20"/>
              </w:rPr>
            </w:pPr>
            <w:r w:rsidRPr="00846E54">
              <w:rPr>
                <w:sz w:val="20"/>
              </w:rPr>
              <w:t>P280 P301+P330+P331 P305+P351+P338</w:t>
            </w:r>
          </w:p>
        </w:tc>
      </w:tr>
      <w:tr w:rsidR="00905ECD" w:rsidRPr="00CD03BD" w:rsidTr="003E1E5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object w:dxaOrig="10800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.2pt;height:40.2pt" o:ole="">
                  <v:imagedata r:id="rId5" o:title="" gain="19661f" blacklevel="22938f" grayscale="t"/>
                </v:shape>
                <o:OLEObject Type="Embed" ProgID="PBrush" ShapeID="_x0000_i1026" DrawAspect="Content" ObjectID="_1471703969" r:id="rId6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object w:dxaOrig="10800" w:dyaOrig="10815">
                <v:shape id="_x0000_i1027" type="#_x0000_t75" style="width:40.2pt;height:40.2pt" o:ole="">
                  <v:imagedata r:id="rId7" o:title="" gain="19661f" blacklevel="22938f" grayscale="t"/>
                </v:shape>
                <o:OLEObject Type="Embed" ProgID="PBrush" ShapeID="_x0000_i1027" DrawAspect="Content" ObjectID="_1471703970" r:id="rId8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object w:dxaOrig="10815" w:dyaOrig="10815">
                <v:shape id="_x0000_i1028" type="#_x0000_t75" style="width:43pt;height:43pt" o:ole="">
                  <v:imagedata r:id="rId10" o:title="" gain="19661f" blacklevel="22938f" grayscale="t"/>
                </v:shape>
                <o:OLEObject Type="Embed" ProgID="PBrush" ShapeID="_x0000_i1028" DrawAspect="Content" ObjectID="_1471703971" r:id="rId11"/>
              </w:objec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object w:dxaOrig="10815" w:dyaOrig="10815">
                <v:shape id="_x0000_i1029" type="#_x0000_t75" style="width:40.2pt;height:40.2pt" o:ole="">
                  <v:imagedata r:id="rId12" o:title=""/>
                </v:shape>
                <o:OLEObject Type="Embed" ProgID="PBrush" ShapeID="_x0000_i1029" DrawAspect="Content" ObjectID="_1471703972" r:id="rId13"/>
              </w:object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5ECD" w:rsidRPr="00CD03BD" w:rsidRDefault="00905ECD" w:rsidP="003E1E5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Pipetten, Spatel, Stopfen</w:t>
      </w:r>
    </w:p>
    <w:p w:rsidR="00905ECD" w:rsidRPr="00ED07C2" w:rsidRDefault="00905ECD" w:rsidP="00905EC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jodiertes Speisesalz, Chloroform, Salzsäure</w:t>
      </w: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Zunächst wird ein Spatel jodiertes Speisesalz in Wasser gelöst und mit Chloroform unterschichtet. Dann wird tropfenweise Salzsäure hinzugefügt und vorsichtig geschüttelt.</w:t>
      </w: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proofErr w:type="gramStart"/>
      <w:r>
        <w:t>Beim</w:t>
      </w:r>
      <w:proofErr w:type="gramEnd"/>
      <w:r>
        <w:t xml:space="preserve"> Unterschichten mit Chloroform entstehen zwei Phasen. Nach der Zugabe der Salzsäure färbt sich die untere Phase schwach rosa.</w:t>
      </w:r>
    </w:p>
    <w:p w:rsidR="00905ECD" w:rsidRDefault="00905ECD" w:rsidP="00905EC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lastRenderedPageBreak/>
        <w:tab/>
      </w:r>
      <w:r>
        <w:rPr>
          <w:noProof/>
          <w:lang w:eastAsia="de-DE"/>
        </w:rPr>
        <w:drawing>
          <wp:inline distT="0" distB="0" distL="0" distR="0">
            <wp:extent cx="1496290" cy="2906981"/>
            <wp:effectExtent l="19050" t="0" r="8660" b="0"/>
            <wp:docPr id="8" name="Grafik 7" descr="DSC0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2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816" cy="290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ECD" w:rsidRDefault="00905ECD" w:rsidP="00905ECD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Das Bild zeigt die Rosafärbung in der unteren Phase</w:t>
      </w: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Bei der Zugabe von Salzsäure wird das in Speisesalz enthaltene Jodat zu Jod reduziert. Dieses löst sich in der organischen </w:t>
      </w:r>
      <w:proofErr w:type="spellStart"/>
      <w:r>
        <w:t>Chloroformphase</w:t>
      </w:r>
      <w:proofErr w:type="spellEnd"/>
      <w:r>
        <w:t xml:space="preserve"> und färbt diese rosa.</w:t>
      </w: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  <m:oMathPara>
        <m:oMath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IO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-</m:t>
                  </m:r>
                </m:sup>
              </m:sSubSup>
              <m:ctrlPr>
                <w:rPr>
                  <w:rFonts w:ascii="Cambria Math" w:hAnsi="Cambria Math"/>
                  <w:vertAlign w:val="superscript"/>
                </w:rPr>
              </m:ctrlP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+ 10 </m:t>
          </m:r>
          <m:sSup>
            <m:sSupPr>
              <m:ctrlPr>
                <w:rPr>
                  <w:rFonts w:ascii="Cambria Math" w:hAnsi="Cambria Math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+ 12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→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vertAlign w:val="subscript"/>
                </w:rPr>
              </m:ctrlP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solv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+ 6 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O</m:t>
              </m:r>
              <m:ctrlPr>
                <w:rPr>
                  <w:rFonts w:ascii="Cambria Math" w:hAnsi="Cambria Math"/>
                  <w:vertAlign w:val="subscript"/>
                </w:rPr>
              </m:ctrlPr>
            </m:e>
            <m:sub>
              <m:d>
                <m:d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vertAlign w:val="subscript"/>
                    </w:rPr>
                    <m:t>l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sub>
          </m:sSub>
        </m:oMath>
      </m:oMathPara>
    </w:p>
    <w:p w:rsidR="00905ECD" w:rsidRPr="00CD03BD" w:rsidRDefault="00905ECD" w:rsidP="00905ECD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rPr>
          <w:rFonts w:eastAsia="MS Mincho"/>
        </w:rPr>
        <w:t>Entsorgung:</w:t>
      </w:r>
      <w:r>
        <w:rPr>
          <w:rFonts w:eastAsia="MS Mincho"/>
        </w:rPr>
        <w:tab/>
      </w:r>
      <w:r>
        <w:rPr>
          <w:rFonts w:eastAsia="MS Mincho"/>
        </w:rPr>
        <w:tab/>
        <w:t xml:space="preserve">Nach der Behandlung mit </w:t>
      </w:r>
      <w:proofErr w:type="spellStart"/>
      <w:r>
        <w:rPr>
          <w:rFonts w:eastAsia="MS Mincho"/>
        </w:rPr>
        <w:t>Thiosulfatlösung</w:t>
      </w:r>
      <w:proofErr w:type="spellEnd"/>
      <w:r>
        <w:rPr>
          <w:rFonts w:eastAsia="MS Mincho"/>
        </w:rPr>
        <w:t xml:space="preserve"> wird die Lösung im Abfall für organische Abfälle entsorgt.</w:t>
      </w:r>
    </w:p>
    <w:p w:rsidR="00905ECD" w:rsidRPr="00CD03BD" w:rsidRDefault="00905ECD" w:rsidP="00905ECD">
      <w:pPr>
        <w:tabs>
          <w:tab w:val="left" w:pos="1985"/>
        </w:tabs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  <w:r>
        <w:t xml:space="preserve">Literatur: </w:t>
      </w:r>
      <w:r>
        <w:tab/>
      </w:r>
      <w:r>
        <w:tab/>
        <w:t xml:space="preserve">G. </w:t>
      </w:r>
      <w:proofErr w:type="spellStart"/>
      <w:r>
        <w:t>Schwendt</w:t>
      </w:r>
      <w:proofErr w:type="spellEnd"/>
      <w:r>
        <w:t>, Noch mehr Experimente mit Supermarktprodukten, WILEY-VCH, 2003, S. 206</w:t>
      </w:r>
    </w:p>
    <w:p w:rsidR="00905ECD" w:rsidRDefault="00905ECD" w:rsidP="00905ECD">
      <w:pPr>
        <w:tabs>
          <w:tab w:val="left" w:pos="1701"/>
          <w:tab w:val="left" w:pos="1985"/>
        </w:tabs>
        <w:ind w:left="1980" w:hanging="1980"/>
      </w:pPr>
    </w:p>
    <w:p w:rsidR="00905ECD" w:rsidRDefault="00197A92" w:rsidP="00905ECD">
      <w:pPr>
        <w:tabs>
          <w:tab w:val="left" w:pos="1701"/>
          <w:tab w:val="left" w:pos="1985"/>
        </w:tabs>
        <w:ind w:left="1980" w:hanging="1980"/>
      </w:pPr>
      <w:r>
        <w:pict>
          <v:shape id="_x0000_s1028" type="#_x0000_t202" style="width:462.45pt;height:8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905ECD" w:rsidRDefault="00905ECD" w:rsidP="00905EC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kann nicht als Schülerversuch durchgeführt werden, da für Chloroform eine Tätigkeitsbeschränkung vorliegt. </w:t>
                  </w:r>
                </w:p>
                <w:p w:rsidR="00905ECD" w:rsidRPr="009368EE" w:rsidRDefault="00905ECD" w:rsidP="00905EC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zeigt eine Alternative zum Stärke-Nachweis und bietet den SuS so eine Erweiterung der Nachweisreaktionen.</w:t>
                  </w:r>
                </w:p>
              </w:txbxContent>
            </v:textbox>
            <w10:wrap type="none"/>
            <w10:anchorlock/>
          </v:shape>
        </w:pict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5ECD"/>
    <w:rsid w:val="00197A92"/>
    <w:rsid w:val="001B77A9"/>
    <w:rsid w:val="00284857"/>
    <w:rsid w:val="005B014F"/>
    <w:rsid w:val="008802DE"/>
    <w:rsid w:val="008B020D"/>
    <w:rsid w:val="00905ECD"/>
    <w:rsid w:val="00C74CA4"/>
    <w:rsid w:val="00D30F72"/>
    <w:rsid w:val="00DD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ECD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ECD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1142</Characters>
  <Application>Microsoft Office Word</Application>
  <DocSecurity>0</DocSecurity>
  <Lines>9</Lines>
  <Paragraphs>2</Paragraphs>
  <ScaleCrop>false</ScaleCrop>
  <Company>Frost-RL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2</cp:revision>
  <dcterms:created xsi:type="dcterms:W3CDTF">2014-09-08T15:53:00Z</dcterms:created>
  <dcterms:modified xsi:type="dcterms:W3CDTF">2014-09-08T15:53:00Z</dcterms:modified>
</cp:coreProperties>
</file>