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DD" w:rsidRDefault="00046BDD" w:rsidP="00046BDD">
      <w:pPr>
        <w:pStyle w:val="berschrift1"/>
        <w:numPr>
          <w:ilvl w:val="0"/>
          <w:numId w:val="0"/>
        </w:numPr>
        <w:ind w:hanging="6"/>
      </w:pPr>
      <w:bookmarkStart w:id="0" w:name="_Toc425776595"/>
      <w:bookmarkStart w:id="1" w:name="_Toc427044144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19165" wp14:editId="61B379A6">
                <wp:simplePos x="0" y="0"/>
                <wp:positionH relativeFrom="column">
                  <wp:posOffset>-4445</wp:posOffset>
                </wp:positionH>
                <wp:positionV relativeFrom="paragraph">
                  <wp:posOffset>1061085</wp:posOffset>
                </wp:positionV>
                <wp:extent cx="5873115" cy="1323975"/>
                <wp:effectExtent l="0" t="0" r="13335" b="28575"/>
                <wp:wrapSquare wrapText="bothSides"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23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BDD" w:rsidRPr="00F31EBF" w:rsidRDefault="00046BDD" w:rsidP="00046BD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Komplexometrie dient der Bestimmung von mehrwertigen Metallionen. Die Komplexbil</w:t>
                            </w:r>
                            <w:r>
                              <w:rPr>
                                <w:color w:val="auto"/>
                              </w:rPr>
                              <w:t>d</w:t>
                            </w:r>
                            <w:r>
                              <w:rPr>
                                <w:color w:val="auto"/>
                              </w:rPr>
                              <w:t xml:space="preserve">ner reagieren mit den Metallionen im Verhältnis 1:1. Am häufigsten wird das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Dinatriumsalz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Ethylendiamintetraessigsäure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(EDTA) zur Komplexbildung verwendet. Das Calciumgehalt zwei verschiedener Wasserproben wird durch diese Titration bestimmt und miteinander vergl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>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35pt;margin-top:83.55pt;width:462.4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bJ7gIAACsGAAAOAAAAZHJzL2Uyb0RvYy54bWysVNuO2jAQfa/Uf7D8zoYQ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046BDD" w:rsidRPr="00F31EBF" w:rsidRDefault="00046BDD" w:rsidP="00046BDD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Komplexometrie dient der Bestimmung von mehrwertigen Metallionen. Die Komplexbil</w:t>
                      </w:r>
                      <w:r>
                        <w:rPr>
                          <w:color w:val="auto"/>
                        </w:rPr>
                        <w:t>d</w:t>
                      </w:r>
                      <w:r>
                        <w:rPr>
                          <w:color w:val="auto"/>
                        </w:rPr>
                        <w:t xml:space="preserve">ner reagieren mit den Metallionen im Verhältnis 1:1. Am häufigsten wird das </w:t>
                      </w:r>
                      <w:proofErr w:type="spellStart"/>
                      <w:r>
                        <w:rPr>
                          <w:color w:val="auto"/>
                        </w:rPr>
                        <w:t>Dinatriumsalz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der </w:t>
                      </w:r>
                      <w:proofErr w:type="spellStart"/>
                      <w:r>
                        <w:rPr>
                          <w:color w:val="auto"/>
                        </w:rPr>
                        <w:t>Ethylendiamintetraessigsäure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(EDTA) zur Komplexbildung verwendet. Das Calciumgehalt zwei verschiedener Wasserproben wird durch diese Titration bestimmt und miteinander vergl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>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proofErr w:type="spellStart"/>
      <w:r>
        <w:t>Lehrer</w:t>
      </w:r>
      <w:r>
        <w:t>_innen</w:t>
      </w:r>
      <w:r>
        <w:t>versuch</w:t>
      </w:r>
      <w:proofErr w:type="spellEnd"/>
      <w:r>
        <w:t xml:space="preserve"> – Bestimmung d</w:t>
      </w:r>
      <w:r>
        <w:t xml:space="preserve">es Calciumgehalts verschiedener </w:t>
      </w:r>
      <w:r>
        <w:t>Wasserproben d</w:t>
      </w:r>
      <w:bookmarkStart w:id="2" w:name="_GoBack"/>
      <w:bookmarkEnd w:id="2"/>
      <w:r>
        <w:t>urch Komplexometrie</w:t>
      </w:r>
      <w:bookmarkEnd w:id="1"/>
    </w:p>
    <w:p w:rsidR="00046BDD" w:rsidRDefault="00046BDD" w:rsidP="00046BDD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46BDD" w:rsidRPr="00A66387" w:rsidTr="00037C3F">
        <w:tc>
          <w:tcPr>
            <w:tcW w:w="9322" w:type="dxa"/>
            <w:gridSpan w:val="9"/>
            <w:shd w:val="clear" w:color="auto" w:fill="4F81BD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66387">
              <w:rPr>
                <w:b/>
                <w:bCs/>
                <w:color w:val="FFFFFF" w:themeColor="background1"/>
                <w:sz w:val="20"/>
                <w:szCs w:val="20"/>
              </w:rPr>
              <w:t>Gefahrenstoffe</w:t>
            </w:r>
          </w:p>
        </w:tc>
      </w:tr>
      <w:tr w:rsidR="00046BDD" w:rsidRPr="00A66387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387">
              <w:rPr>
                <w:color w:val="auto"/>
                <w:sz w:val="20"/>
                <w:szCs w:val="20"/>
              </w:rPr>
              <w:t>Ethylendiamintetraessigsäure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46BDD" w:rsidRPr="00A66387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66387"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 280+301+330+331+305+351+338+308+310</w:t>
            </w:r>
          </w:p>
        </w:tc>
      </w:tr>
      <w:tr w:rsidR="00046BDD" w:rsidRPr="00A66387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A66387">
              <w:rPr>
                <w:color w:val="auto"/>
                <w:sz w:val="20"/>
                <w:szCs w:val="20"/>
              </w:rPr>
              <w:t>Calconcarbonsäure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315+319+335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280+302+352+305+351+338</w:t>
            </w:r>
          </w:p>
        </w:tc>
      </w:tr>
      <w:tr w:rsidR="00046BDD" w:rsidRPr="00A66387" w:rsidTr="00037C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A66387">
              <w:rPr>
                <w:color w:val="auto"/>
                <w:sz w:val="20"/>
                <w:szCs w:val="20"/>
              </w:rPr>
              <w:t>Wasserprobe</w:t>
            </w:r>
            <w:r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46BDD" w:rsidRPr="00A66387" w:rsidRDefault="00046BDD" w:rsidP="00037C3F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46BDD" w:rsidRPr="00A66387" w:rsidRDefault="00046BDD" w:rsidP="00037C3F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46BDD" w:rsidRPr="00A66387" w:rsidTr="00037C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6387">
              <w:rPr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7990493" wp14:editId="24517144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FBFF3A9" wp14:editId="11F381A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ACB266A" wp14:editId="4E8D7511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16368CE" wp14:editId="7DB87DC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80A2C0B" wp14:editId="19488EF2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DF84005" wp14:editId="57BCBA7C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FB86744" wp14:editId="005E679C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752865A" wp14:editId="23F8E7FD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46BDD" w:rsidRPr="00A66387" w:rsidRDefault="00046BDD" w:rsidP="00037C3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D1DA919" wp14:editId="55ECFD05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DD" w:rsidRDefault="00046BDD" w:rsidP="00046BDD">
      <w:pPr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Bürette (50 </w:t>
      </w:r>
      <w:proofErr w:type="spellStart"/>
      <w:r>
        <w:t>mL</w:t>
      </w:r>
      <w:proofErr w:type="spellEnd"/>
      <w:r>
        <w:t>) mit Halterung, Magnetrührer, Rührmagnet, Pipette, 100 </w:t>
      </w:r>
      <w:proofErr w:type="spellStart"/>
      <w:r>
        <w:t>mL</w:t>
      </w:r>
      <w:proofErr w:type="spellEnd"/>
      <w:r>
        <w:t> Becherglas, 50 </w:t>
      </w:r>
      <w:proofErr w:type="spellStart"/>
      <w:r>
        <w:t>mL</w:t>
      </w:r>
      <w:proofErr w:type="spellEnd"/>
      <w:r>
        <w:t> Becherglas, Glastrichter, Stativ mit Klemme</w:t>
      </w:r>
    </w:p>
    <w:p w:rsidR="00046BDD" w:rsidRPr="00ED07C2" w:rsidRDefault="00046BDD" w:rsidP="00046BD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rPr>
          <w:color w:val="auto"/>
        </w:rPr>
        <w:t>Ethylendiamintetraessigsäure</w:t>
      </w:r>
      <w:proofErr w:type="spellEnd"/>
      <w:r>
        <w:rPr>
          <w:color w:val="auto"/>
        </w:rPr>
        <w:t xml:space="preserve">, Natriumhydroxid, </w:t>
      </w:r>
      <w:proofErr w:type="spellStart"/>
      <w:r>
        <w:rPr>
          <w:color w:val="auto"/>
        </w:rPr>
        <w:t>Calconcarbonsäure</w:t>
      </w:r>
      <w:proofErr w:type="spellEnd"/>
      <w:r>
        <w:rPr>
          <w:color w:val="auto"/>
        </w:rPr>
        <w:t>, Wa</w:t>
      </w:r>
      <w:r>
        <w:rPr>
          <w:color w:val="auto"/>
        </w:rPr>
        <w:t>s</w:t>
      </w:r>
      <w:r>
        <w:rPr>
          <w:color w:val="auto"/>
        </w:rPr>
        <w:t>serproben (1: Zuhause; 2: Praktikumsraum)</w:t>
      </w:r>
    </w:p>
    <w:p w:rsidR="00046BDD" w:rsidRDefault="00046BDD" w:rsidP="00046BD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Es wird eine 50 </w:t>
      </w:r>
      <w:proofErr w:type="spellStart"/>
      <w:r>
        <w:t>mL</w:t>
      </w:r>
      <w:proofErr w:type="spellEnd"/>
      <w:r>
        <w:t xml:space="preserve"> 0,01 M EDTA-Lösung angesetzt. Anschließend wird 30 </w:t>
      </w:r>
      <w:proofErr w:type="spellStart"/>
      <w:r>
        <w:t>mL</w:t>
      </w:r>
      <w:proofErr w:type="spellEnd"/>
      <w:r>
        <w:t xml:space="preserve"> der Wasserprobe in einem 100 </w:t>
      </w:r>
      <w:proofErr w:type="spellStart"/>
      <w:r>
        <w:t>mL</w:t>
      </w:r>
      <w:proofErr w:type="spellEnd"/>
      <w:r>
        <w:t xml:space="preserve"> Becherglas gegeben und mit 2 ml Natronlauge (15 %</w:t>
      </w:r>
      <w:proofErr w:type="spellStart"/>
      <w:r>
        <w:t>ig</w:t>
      </w:r>
      <w:proofErr w:type="spellEnd"/>
      <w:r>
        <w:t xml:space="preserve">) versetzt. Als Indikator wird eine Spatelspitze </w:t>
      </w:r>
      <w:proofErr w:type="spellStart"/>
      <w:r>
        <w:t>Calco</w:t>
      </w:r>
      <w:r>
        <w:t>n</w:t>
      </w:r>
      <w:r>
        <w:t>carbonsäure</w:t>
      </w:r>
      <w:proofErr w:type="spellEnd"/>
      <w:r>
        <w:t xml:space="preserve"> zugegeben und die Lösung färbt sich lila </w:t>
      </w:r>
      <w:r w:rsidRPr="00650EB4">
        <w:t>(Abb.</w:t>
      </w:r>
      <w:r>
        <w:t> 1). Die Bürette wird mit der Halterung an einem Stativ befestigt und mithilfe eines Glastrichters mit der angesetzten EDTA-Lösung aufgefüllt. Die Wasserpr</w:t>
      </w:r>
      <w:r>
        <w:t>o</w:t>
      </w:r>
      <w:r>
        <w:t>ben</w:t>
      </w:r>
      <w:r>
        <w:noBreakHyphen/>
        <w:t>Lösung wird auf einen Magnetrührer bis zum Farbumschlag titriert. Das zugegebene Volumen der EDTA</w:t>
      </w:r>
      <w:r>
        <w:noBreakHyphen/>
        <w:t>Lösung wird für die Auswertung n</w:t>
      </w:r>
      <w:r>
        <w:t>o</w:t>
      </w:r>
      <w:r>
        <w:t>tiert. Auf diese Weise wird auch die zweite Wasserprobe titriert.</w:t>
      </w:r>
    </w:p>
    <w:p w:rsidR="00046BDD" w:rsidRDefault="00046BDD" w:rsidP="00046BD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4CA1920F" wp14:editId="6D6D2190">
            <wp:simplePos x="0" y="0"/>
            <wp:positionH relativeFrom="column">
              <wp:posOffset>776605</wp:posOffset>
            </wp:positionH>
            <wp:positionV relativeFrom="paragraph">
              <wp:posOffset>853440</wp:posOffset>
            </wp:positionV>
            <wp:extent cx="1838325" cy="2276475"/>
            <wp:effectExtent l="0" t="0" r="9525" b="952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83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EAD8288" wp14:editId="31756091">
            <wp:simplePos x="0" y="0"/>
            <wp:positionH relativeFrom="column">
              <wp:posOffset>3691255</wp:posOffset>
            </wp:positionH>
            <wp:positionV relativeFrom="paragraph">
              <wp:posOffset>824865</wp:posOffset>
            </wp:positionV>
            <wp:extent cx="1751747" cy="2324100"/>
            <wp:effectExtent l="0" t="0" r="127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1747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</w:r>
      <w:r>
        <w:tab/>
        <w:t xml:space="preserve">Im Verlauf der Titration verfärbt sich die Wasserproben-Lösung von lila zu </w:t>
      </w:r>
      <w:proofErr w:type="gramStart"/>
      <w:r>
        <w:t>blau</w:t>
      </w:r>
      <w:proofErr w:type="gramEnd"/>
      <w:r>
        <w:t xml:space="preserve"> (</w:t>
      </w:r>
      <w:r w:rsidRPr="00650EB4">
        <w:t>Abb. 2).</w:t>
      </w:r>
      <w:r>
        <w:t xml:space="preserve"> In die Wasserprobe 1 wurden 21,8 </w:t>
      </w:r>
      <w:proofErr w:type="spellStart"/>
      <w:r>
        <w:t>mL</w:t>
      </w:r>
      <w:proofErr w:type="spellEnd"/>
      <w:r>
        <w:t xml:space="preserve"> EDTA-Lösung zugeg</w:t>
      </w:r>
      <w:r>
        <w:t>e</w:t>
      </w:r>
      <w:r>
        <w:t>ben bis zum Farbumschlag und in die Wasserprobe 2 23,2 </w:t>
      </w:r>
      <w:proofErr w:type="spellStart"/>
      <w:r>
        <w:t>mL</w:t>
      </w:r>
      <w:proofErr w:type="spellEnd"/>
      <w:r>
        <w:t xml:space="preserve">. </w:t>
      </w: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EAFF8" wp14:editId="32D17D29">
                <wp:simplePos x="0" y="0"/>
                <wp:positionH relativeFrom="column">
                  <wp:posOffset>3691255</wp:posOffset>
                </wp:positionH>
                <wp:positionV relativeFrom="paragraph">
                  <wp:posOffset>29210</wp:posOffset>
                </wp:positionV>
                <wp:extent cx="1828800" cy="685800"/>
                <wp:effectExtent l="0" t="0" r="0" b="0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DD" w:rsidRPr="000A273E" w:rsidRDefault="00046BDD" w:rsidP="00046BDD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bb. 2 Wasserprobe nach der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komplexometrischen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Titration (blau).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290.65pt;margin-top:2.3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" filled="f" stroked="f">
                <v:textbox>
                  <w:txbxContent>
                    <w:p w:rsidR="00046BDD" w:rsidRPr="000A273E" w:rsidRDefault="00046BDD" w:rsidP="00046BDD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bb. 2 Wasserprobe nach der </w:t>
                      </w:r>
                      <w:proofErr w:type="spellStart"/>
                      <w:r>
                        <w:rPr>
                          <w:sz w:val="18"/>
                        </w:rPr>
                        <w:t>komplexometrischen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Titration (blau).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4CFC" wp14:editId="11853724">
                <wp:simplePos x="0" y="0"/>
                <wp:positionH relativeFrom="column">
                  <wp:posOffset>776605</wp:posOffset>
                </wp:positionH>
                <wp:positionV relativeFrom="paragraph">
                  <wp:posOffset>57785</wp:posOffset>
                </wp:positionV>
                <wp:extent cx="1828800" cy="657225"/>
                <wp:effectExtent l="0" t="0" r="0" b="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DD" w:rsidRPr="000A273E" w:rsidRDefault="00046BDD" w:rsidP="00046BDD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bb. 1 Wasserprobe vor der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komplexometrischen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Titration (lila).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15pt;margin-top:4.55pt;width:2in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" filled="f" stroked="f">
                <v:textbox>
                  <w:txbxContent>
                    <w:p w:rsidR="00046BDD" w:rsidRPr="000A273E" w:rsidRDefault="00046BDD" w:rsidP="00046BDD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bb. 1 Wasserprobe vor der </w:t>
                      </w:r>
                      <w:proofErr w:type="spellStart"/>
                      <w:r>
                        <w:rPr>
                          <w:sz w:val="18"/>
                        </w:rPr>
                        <w:t>komplexometrischen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Titration (lila). </w:t>
                      </w:r>
                    </w:p>
                  </w:txbxContent>
                </v:textbox>
              </v:shape>
            </w:pict>
          </mc:Fallback>
        </mc:AlternateContent>
      </w:r>
    </w:p>
    <w:p w:rsidR="00046BDD" w:rsidRDefault="00046BDD" w:rsidP="00046BDD">
      <w:pPr>
        <w:keepNext/>
        <w:tabs>
          <w:tab w:val="left" w:pos="1701"/>
          <w:tab w:val="left" w:pos="1985"/>
        </w:tabs>
        <w:ind w:left="1980" w:hanging="1980"/>
      </w:pPr>
    </w:p>
    <w:p w:rsidR="00046BDD" w:rsidRDefault="00046BDD" w:rsidP="00046BDD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Zunächst bilden die </w:t>
      </w:r>
      <w:proofErr w:type="spellStart"/>
      <w:r>
        <w:t>Calciumionen</w:t>
      </w:r>
      <w:proofErr w:type="spellEnd"/>
      <w:r>
        <w:t xml:space="preserve"> (Ca</w:t>
      </w:r>
      <w:r w:rsidRPr="009E0E10">
        <w:rPr>
          <w:vertAlign w:val="superscript"/>
        </w:rPr>
        <w:t>2+</w:t>
      </w:r>
      <w:r>
        <w:t xml:space="preserve">) mit der </w:t>
      </w:r>
      <w:proofErr w:type="spellStart"/>
      <w:r>
        <w:t>Calconcarbonsäure</w:t>
      </w:r>
      <w:proofErr w:type="spellEnd"/>
      <w:r>
        <w:t xml:space="preserve"> einen Komplex, die Wasserlösung färbt sich lila. Bei Zugabe von EDTA reagieren </w:t>
      </w:r>
      <w:proofErr w:type="spellStart"/>
      <w:r>
        <w:t>Calciumionen</w:t>
      </w:r>
      <w:proofErr w:type="spellEnd"/>
      <w:r>
        <w:t xml:space="preserve"> mit dem EDTA zu einem farblosen </w:t>
      </w:r>
      <w:proofErr w:type="spellStart"/>
      <w:r>
        <w:t>Ca</w:t>
      </w:r>
      <w:proofErr w:type="spellEnd"/>
      <w:r>
        <w:noBreakHyphen/>
        <w:t>EDTA</w:t>
      </w:r>
      <w:r>
        <w:noBreakHyphen/>
        <w:t xml:space="preserve">Komplex. Die blaue Eigenfarbe der freigesetzten </w:t>
      </w:r>
      <w:proofErr w:type="spellStart"/>
      <w:r>
        <w:t>Calconcarbonsäure</w:t>
      </w:r>
      <w:proofErr w:type="spellEnd"/>
      <w:r>
        <w:t xml:space="preserve"> erscheint und die Wasser-Lösung färbt sich blau.</w:t>
      </w:r>
    </w:p>
    <w:p w:rsidR="00046BDD" w:rsidRPr="00054389" w:rsidRDefault="00046BDD" w:rsidP="00046BDD">
      <w:pPr>
        <w:tabs>
          <w:tab w:val="left" w:pos="1701"/>
          <w:tab w:val="left" w:pos="1985"/>
        </w:tabs>
        <w:ind w:left="2124" w:hanging="212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EDTA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CaEDTA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</m:oMath>
      </m:oMathPara>
    </w:p>
    <w:p w:rsidR="00046BDD" w:rsidRDefault="00046BDD" w:rsidP="00046BDD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Aus der zugegebenen EDTA-Menge lässt sich der Gehalt der </w:t>
      </w:r>
      <w:proofErr w:type="spellStart"/>
      <w:r>
        <w:t>Calciumionen</w:t>
      </w:r>
      <w:proofErr w:type="spellEnd"/>
      <w:r>
        <w:t xml:space="preserve"> bestimmen:</w:t>
      </w:r>
    </w:p>
    <w:p w:rsidR="00046BDD" w:rsidRDefault="00046BDD" w:rsidP="00046BDD">
      <w:pPr>
        <w:tabs>
          <w:tab w:val="left" w:pos="1701"/>
          <w:tab w:val="left" w:pos="1985"/>
        </w:tabs>
        <w:ind w:left="2124" w:hanging="2124"/>
      </w:pPr>
    </w:p>
    <w:p w:rsidR="00046BDD" w:rsidRDefault="00046BDD" w:rsidP="00046BDD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Pr="007B2C9D">
        <w:rPr>
          <w:b/>
        </w:rPr>
        <w:t>Wasserprobe 1:</w:t>
      </w:r>
    </w:p>
    <w:p w:rsidR="00046BDD" w:rsidRDefault="00046BDD" w:rsidP="00046BD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7B2C9D">
        <w:tab/>
      </w:r>
      <w:r w:rsidRPr="007B2C9D">
        <w:tab/>
      </w:r>
      <w:r w:rsidRPr="007B2C9D"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c(EDTA)∙V(EDTA)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V(Ca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0,01 mol/L∙21,8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 mL</m:t>
            </m:r>
          </m:den>
        </m:f>
        <m:r>
          <m:rPr>
            <m:sty m:val="p"/>
          </m:rPr>
          <w:rPr>
            <w:rFonts w:ascii="Cambria Math" w:hAnsi="Cambria Math"/>
          </w:rPr>
          <m:t>=0,0073 mol/L</m:t>
        </m:r>
      </m:oMath>
    </w:p>
    <w:p w:rsidR="00046BDD" w:rsidRPr="007B2C9D" w:rsidRDefault="00046BDD" w:rsidP="00046BDD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n(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)=</m:t>
        </m:r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V(Ca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0,0073 mol/L∙0,03 L=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2,18∙10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mol</m:t>
        </m:r>
      </m:oMath>
    </w:p>
    <w:p w:rsidR="00046BDD" w:rsidRPr="007B2C9D" w:rsidRDefault="00046BDD" w:rsidP="00046BDD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∙n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=40,08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mol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2,18∙10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mol=0,0087g=</m:t>
        </m:r>
        <m:r>
          <m:rPr>
            <m:sty m:val="b"/>
          </m:rPr>
          <w:rPr>
            <w:rFonts w:ascii="Cambria Math" w:hAnsi="Cambria Math"/>
            <w:sz w:val="20"/>
          </w:rPr>
          <m:t>8,7 mg</m:t>
        </m:r>
      </m:oMath>
    </w:p>
    <w:p w:rsidR="00046BDD" w:rsidRPr="007B2C9D" w:rsidRDefault="00046BDD" w:rsidP="00046BDD">
      <w:pPr>
        <w:tabs>
          <w:tab w:val="left" w:pos="1701"/>
          <w:tab w:val="left" w:pos="1985"/>
        </w:tabs>
        <w:ind w:left="2124" w:hanging="2124"/>
        <w:rPr>
          <w:b/>
        </w:rPr>
      </w:pPr>
      <w:r>
        <w:tab/>
      </w:r>
      <w:r>
        <w:tab/>
      </w:r>
      <w:r>
        <w:tab/>
      </w:r>
      <w:r w:rsidRPr="007B2C9D">
        <w:rPr>
          <w:b/>
        </w:rPr>
        <w:t>Wasserprobe 2:</w:t>
      </w:r>
    </w:p>
    <w:p w:rsidR="00046BDD" w:rsidRPr="00660563" w:rsidRDefault="00046BDD" w:rsidP="00046BD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c(EDTA)∙V(EDTA)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V(Ca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0,01 mol/L∙23,2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 mL</m:t>
            </m:r>
          </m:den>
        </m:f>
        <m:r>
          <m:rPr>
            <m:sty m:val="p"/>
          </m:rPr>
          <w:rPr>
            <w:rFonts w:ascii="Cambria Math" w:hAnsi="Cambria Math"/>
          </w:rPr>
          <m:t>=0,0077 mol/L</m:t>
        </m:r>
      </m:oMath>
    </w:p>
    <w:p w:rsidR="00046BDD" w:rsidRPr="007B2C9D" w:rsidRDefault="00046BDD" w:rsidP="00046BDD">
      <w:pPr>
        <w:ind w:firstLine="708"/>
        <w:rPr>
          <w:rFonts w:eastAsiaTheme="minorEastAsia"/>
        </w:rPr>
      </w:pPr>
      <w:r>
        <w:rPr>
          <w:rFonts w:eastAsiaTheme="minorEastAsia"/>
        </w:rPr>
        <w:lastRenderedPageBreak/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n(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)=</m:t>
        </m:r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V(Ca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0,0077 mol/L∙0,03 L=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2,32∙10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mol</m:t>
        </m:r>
      </m:oMath>
    </w:p>
    <w:p w:rsidR="00046BDD" w:rsidRPr="00E53F7B" w:rsidRDefault="00046BDD" w:rsidP="00046BDD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∙n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=40,08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mol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2,32∙10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mol=0,0093 g</m:t>
        </m:r>
        <m:r>
          <m:rPr>
            <m:sty m:val="p"/>
          </m:rPr>
          <w:rPr>
            <w:rFonts w:ascii="Cambria Math" w:eastAsiaTheme="minorEastAsia" w:hAnsi="Cambria Math"/>
            <w:sz w:val="20"/>
          </w:rPr>
          <m:t>=</m:t>
        </m:r>
        <m:r>
          <m:rPr>
            <m:sty m:val="b"/>
          </m:rPr>
          <w:rPr>
            <w:rFonts w:ascii="Cambria Math" w:eastAsiaTheme="minorEastAsia" w:hAnsi="Cambria Math"/>
            <w:sz w:val="20"/>
          </w:rPr>
          <m:t>9,3 mg</m:t>
        </m:r>
      </m:oMath>
    </w:p>
    <w:p w:rsidR="00046BDD" w:rsidRPr="00660563" w:rsidRDefault="00046BDD" w:rsidP="00046BD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Der Calciumgehalt der Wasserprobe 2 (Praktikumsraum) beträgt 9,3 mg/30 </w:t>
      </w:r>
      <w:proofErr w:type="spellStart"/>
      <w:r>
        <w:rPr>
          <w:rFonts w:eastAsiaTheme="minorEastAsia"/>
        </w:rPr>
        <w:t>mL</w:t>
      </w:r>
      <w:proofErr w:type="spellEnd"/>
      <w:r>
        <w:rPr>
          <w:rFonts w:eastAsiaTheme="minorEastAsia"/>
        </w:rPr>
        <w:t xml:space="preserve"> (umgerechnet 310 mg/L) und liegt somit etwas höher g</w:t>
      </w:r>
      <w:r>
        <w:rPr>
          <w:rFonts w:eastAsiaTheme="minorEastAsia"/>
        </w:rPr>
        <w:t>e</w:t>
      </w:r>
      <w:r>
        <w:rPr>
          <w:rFonts w:eastAsiaTheme="minorEastAsia"/>
        </w:rPr>
        <w:t xml:space="preserve">genüber der Wasserprobe 1 (Zuhause) mit 8,7 mg (umgerechnet 290 mg/L). </w:t>
      </w:r>
    </w:p>
    <w:p w:rsidR="00046BDD" w:rsidRDefault="00046BDD" w:rsidP="00046BDD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in die flüssigen organischen Abfälle. </w:t>
      </w:r>
    </w:p>
    <w:p w:rsidR="00046BDD" w:rsidRDefault="00046BDD" w:rsidP="00046BDD">
      <w:pPr>
        <w:pStyle w:val="Literaturverzeichnis"/>
        <w:ind w:left="2124" w:hanging="2124"/>
        <w:rPr>
          <w:noProof/>
        </w:rPr>
      </w:pPr>
      <w:r w:rsidRPr="00F91541">
        <w:t>Lite</w:t>
      </w:r>
      <w:r>
        <w:t>ratur:</w:t>
      </w:r>
      <w:r>
        <w:tab/>
      </w:r>
      <w:r>
        <w:rPr>
          <w:noProof/>
        </w:rPr>
        <w:t xml:space="preserve">Ludwig, M. (2008). </w:t>
      </w:r>
      <w:r>
        <w:rPr>
          <w:i/>
          <w:iCs/>
          <w:noProof/>
        </w:rPr>
        <w:t>Uni Leipzig</w:t>
      </w:r>
      <w:r>
        <w:rPr>
          <w:noProof/>
        </w:rPr>
        <w:t>. Abgerufen am 07. August 2015 von http://home.uni-leipzig.de/belder/Praktikum/Biochemiker_2008_Skript.pdf</w:t>
      </w:r>
    </w:p>
    <w:p w:rsidR="00046BDD" w:rsidRDefault="00046BDD" w:rsidP="00046BD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165E273" wp14:editId="5CAD2281">
                <wp:extent cx="5873115" cy="1333500"/>
                <wp:effectExtent l="0" t="0" r="13335" b="19050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3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BDD" w:rsidRPr="00E53F7B" w:rsidRDefault="00046BDD" w:rsidP="00046BD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Anmerkungen: </w:t>
                            </w:r>
                            <w:r>
                              <w:rPr>
                                <w:color w:val="auto"/>
                              </w:rPr>
                              <w:t>Die Indikatorfarbe ist besser erkennbar, wenn ein Filterpapier oder ein anderes weißes Blatt unter dem Becherglas gelegt wird. Um einen besseren schärferen Farbu</w:t>
                            </w:r>
                            <w:r>
                              <w:rPr>
                                <w:color w:val="auto"/>
                              </w:rPr>
                              <w:t>m</w:t>
                            </w:r>
                            <w:r>
                              <w:rPr>
                                <w:color w:val="auto"/>
                              </w:rPr>
                              <w:t>schlag zu erhalten sollten die Titrationen mit warmen Lösungen erfolgen. Die Natronlauge ist dafür da, um die Magnesium-</w:t>
                            </w:r>
                            <w:r w:rsidRPr="00054389">
                              <w:rPr>
                                <w:color w:val="auto"/>
                              </w:rPr>
                              <w:t>Ionen in der Wasserprobe, mit denen das EDTA auch Komplexe bilden kann, als Hydroxid auszufällen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Mg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2+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+2 NaOH→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Mg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auto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</w:rPr>
                                        <m:t>OH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 Na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054389">
                              <w:rPr>
                                <w:rFonts w:eastAsiaTheme="minorEastAsia"/>
                                <w:color w:val="auto"/>
                              </w:rPr>
                              <w:t>)</w:t>
                            </w:r>
                            <w:r w:rsidRPr="00054389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9" type="#_x0000_t202" style="width:462.4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046BDD" w:rsidRPr="00E53F7B" w:rsidRDefault="00046BDD" w:rsidP="00046BDD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Anmerkungen: </w:t>
                      </w:r>
                      <w:r>
                        <w:rPr>
                          <w:color w:val="auto"/>
                        </w:rPr>
                        <w:t>Die Indikatorfarbe ist besser erkennbar, wenn ein Filterpapier oder ein anderes weißes Blatt unter dem Becherglas gelegt wird. Um einen besseren schärferen Farbu</w:t>
                      </w:r>
                      <w:r>
                        <w:rPr>
                          <w:color w:val="auto"/>
                        </w:rPr>
                        <w:t>m</w:t>
                      </w:r>
                      <w:r>
                        <w:rPr>
                          <w:color w:val="auto"/>
                        </w:rPr>
                        <w:t>schlag zu erhalten sollten die Titrationen mit warmen Lösungen erfolgen. Die Natronlauge ist dafür da, um die Magnesium-</w:t>
                      </w:r>
                      <w:r w:rsidRPr="00054389">
                        <w:rPr>
                          <w:color w:val="auto"/>
                        </w:rPr>
                        <w:t>Ionen in der Wasserprobe, mit denen das EDTA auch Komplexe bilden kann, als Hydroxid auszufällen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Mg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2+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</w:rPr>
                          <m:t>+2 NaOH→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Mg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auto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auto"/>
                                  </w:rPr>
                                  <m:t>OH</m:t>
                                </m:r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 Na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p>
                      </m:oMath>
                      <w:r w:rsidRPr="00054389">
                        <w:rPr>
                          <w:rFonts w:eastAsiaTheme="minorEastAsia"/>
                          <w:color w:val="auto"/>
                        </w:rPr>
                        <w:t>)</w:t>
                      </w:r>
                      <w:r w:rsidRPr="00054389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5660" w:rsidRDefault="00046BDD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DD"/>
    <w:rsid w:val="00046BDD"/>
    <w:rsid w:val="001B7B06"/>
    <w:rsid w:val="00531888"/>
    <w:rsid w:val="00663385"/>
    <w:rsid w:val="006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BD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6BD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6BD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6BD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6BD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BD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BD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BD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BD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BD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BD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6BD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6BD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6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B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B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B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B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B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46BDD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046B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D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BD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6BD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6BD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6BD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6BD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BD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BD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BD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BD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BD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BD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6BD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6BD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6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B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B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B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B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B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46BDD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046B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D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2511</Characters>
  <Application>Microsoft Office Word</Application>
  <DocSecurity>0</DocSecurity>
  <Lines>20</Lines>
  <Paragraphs>5</Paragraphs>
  <ScaleCrop>false</ScaleCrop>
  <Company>Office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2015-08-27T15:24:00Z</dcterms:created>
  <dcterms:modified xsi:type="dcterms:W3CDTF">2015-08-27T15:26:00Z</dcterms:modified>
</cp:coreProperties>
</file>