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2E" w:rsidRPr="00984EF9" w:rsidRDefault="001C482E" w:rsidP="001C482E">
      <w:pPr>
        <w:pStyle w:val="berschrift2"/>
        <w:numPr>
          <w:ilvl w:val="0"/>
          <w:numId w:val="0"/>
        </w:numPr>
        <w:ind w:left="576" w:hanging="576"/>
      </w:pPr>
      <w:bookmarkStart w:id="0" w:name="_Toc427054870"/>
      <w:r>
        <w:t xml:space="preserve">Fällungstitration – </w:t>
      </w:r>
      <w:proofErr w:type="spellStart"/>
      <w:r>
        <w:t>Argentometrische</w:t>
      </w:r>
      <w:proofErr w:type="spellEnd"/>
      <w:r>
        <w:t xml:space="preserve"> Bestimmung nach </w:t>
      </w:r>
      <w:proofErr w:type="spellStart"/>
      <w:r>
        <w:t>Fajans</w:t>
      </w:r>
      <w:bookmarkEnd w:id="0"/>
      <w:proofErr w:type="spellEnd"/>
    </w:p>
    <w:p w:rsidR="001C482E" w:rsidRDefault="001C482E" w:rsidP="001C482E">
      <w:pPr>
        <w:pStyle w:val="berschrift2"/>
        <w:numPr>
          <w:ilvl w:val="0"/>
          <w:numId w:val="0"/>
        </w:numPr>
      </w:pPr>
      <w:bookmarkStart w:id="1" w:name="_Toc425776595"/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C482E" w:rsidRPr="009C5E28" w:rsidTr="00037C3F">
        <w:tc>
          <w:tcPr>
            <w:tcW w:w="9322" w:type="dxa"/>
            <w:gridSpan w:val="9"/>
            <w:shd w:val="clear" w:color="auto" w:fill="4F81BD"/>
            <w:vAlign w:val="center"/>
          </w:tcPr>
          <w:p w:rsidR="001C482E" w:rsidRPr="00F31EBF" w:rsidRDefault="001C482E" w:rsidP="00037C3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C482E" w:rsidRPr="009C5E28" w:rsidTr="00037C3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Default="001C482E" w:rsidP="00037C3F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Silbernitrat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272+314+410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 273+280+301+330+331+305+351+338+309+310</w:t>
            </w:r>
          </w:p>
        </w:tc>
      </w:tr>
      <w:tr w:rsidR="001C482E" w:rsidRPr="009C5E28" w:rsidTr="00037C3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Pr="00071E5A" w:rsidRDefault="001C482E" w:rsidP="00037C3F">
            <w:pPr>
              <w:spacing w:after="0" w:line="276" w:lineRule="auto"/>
              <w:jc w:val="center"/>
              <w:rPr>
                <w:bCs/>
                <w:sz w:val="20"/>
              </w:rPr>
            </w:pPr>
            <w:proofErr w:type="spellStart"/>
            <w:r w:rsidRPr="00071E5A">
              <w:rPr>
                <w:bCs/>
                <w:sz w:val="20"/>
              </w:rPr>
              <w:t>Fluorescein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305+351+338</w:t>
            </w:r>
          </w:p>
        </w:tc>
      </w:tr>
      <w:tr w:rsidR="001C482E" w:rsidRPr="009C5E28" w:rsidTr="00037C3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Pr="00071E5A" w:rsidRDefault="001C482E" w:rsidP="00037C3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Dextrin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  <w:rPr>
                <w:sz w:val="20"/>
              </w:rPr>
            </w:pPr>
          </w:p>
        </w:tc>
      </w:tr>
      <w:tr w:rsidR="001C482E" w:rsidRPr="009C5E28" w:rsidTr="00037C3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Default="001C482E" w:rsidP="00037C3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Calciumchlorid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305+351+338</w:t>
            </w:r>
          </w:p>
        </w:tc>
      </w:tr>
      <w:tr w:rsidR="001C482E" w:rsidRPr="009C5E28" w:rsidTr="00037C3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Natriumhydrogencarbonat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1C482E" w:rsidRPr="009C5E28" w:rsidRDefault="001C482E" w:rsidP="00037C3F">
            <w:pPr>
              <w:pStyle w:val="Beschriftung"/>
              <w:spacing w:after="0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C482E" w:rsidRPr="009C5E28" w:rsidRDefault="001C482E" w:rsidP="00037C3F">
            <w:pPr>
              <w:pStyle w:val="Beschriftung"/>
              <w:spacing w:after="0"/>
              <w:jc w:val="center"/>
              <w:rPr>
                <w:sz w:val="20"/>
              </w:rPr>
            </w:pPr>
          </w:p>
        </w:tc>
      </w:tr>
      <w:tr w:rsidR="001C482E" w:rsidRPr="009C5E28" w:rsidTr="00037C3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10DA5832" wp14:editId="237633AF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890BFFC" wp14:editId="142226FA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F53F74C" wp14:editId="6342EDF5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5219D7A" wp14:editId="75A31175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0DD4A4" wp14:editId="2FA385B9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A43B141" wp14:editId="71F3F1A3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4F15CDB" wp14:editId="1A84354C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FAA4455" wp14:editId="420C617F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C482E" w:rsidRPr="009C5E28" w:rsidRDefault="001C482E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8DADFA" wp14:editId="495818E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82E" w:rsidRDefault="001C482E" w:rsidP="001C482E">
      <w:pPr>
        <w:tabs>
          <w:tab w:val="left" w:pos="1701"/>
          <w:tab w:val="left" w:pos="1985"/>
        </w:tabs>
        <w:ind w:left="1980" w:hanging="1980"/>
      </w:pPr>
    </w:p>
    <w:p w:rsidR="001C482E" w:rsidRDefault="001C482E" w:rsidP="001C482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50 </w:t>
      </w:r>
      <w:proofErr w:type="spellStart"/>
      <w:r>
        <w:t>mL</w:t>
      </w:r>
      <w:proofErr w:type="spellEnd"/>
      <w:r>
        <w:t xml:space="preserve"> Bürette, 20 ml Vollpipette, 300 </w:t>
      </w:r>
      <w:proofErr w:type="spellStart"/>
      <w:r>
        <w:t>mL</w:t>
      </w:r>
      <w:proofErr w:type="spellEnd"/>
      <w:r>
        <w:t xml:space="preserve"> Erlenmeyerkolben, Stativ mit Klemme, Magnetrührer mit Rührmagnet</w:t>
      </w:r>
    </w:p>
    <w:p w:rsidR="001C482E" w:rsidRPr="006E0DBF" w:rsidRDefault="001C482E" w:rsidP="001C482E">
      <w:pPr>
        <w:tabs>
          <w:tab w:val="left" w:pos="1701"/>
          <w:tab w:val="left" w:pos="1985"/>
        </w:tabs>
        <w:ind w:left="1980" w:hanging="1980"/>
      </w:pPr>
      <w:r w:rsidRPr="006E0DBF">
        <w:t>Chemikalien:</w:t>
      </w:r>
      <w:r w:rsidRPr="006E0DBF">
        <w:tab/>
      </w:r>
      <w:r w:rsidRPr="006E0DBF">
        <w:tab/>
        <w:t xml:space="preserve">Silbernitrat, </w:t>
      </w:r>
      <w:proofErr w:type="spellStart"/>
      <w:r w:rsidRPr="006E0DBF">
        <w:rPr>
          <w:bCs/>
        </w:rPr>
        <w:t>Fluorescein</w:t>
      </w:r>
      <w:proofErr w:type="spellEnd"/>
      <w:r w:rsidRPr="006E0DBF">
        <w:rPr>
          <w:bCs/>
        </w:rPr>
        <w:t xml:space="preserve"> (0,1 %), Dextrin (2 %), </w:t>
      </w:r>
      <w:r w:rsidRPr="006E0DBF">
        <w:rPr>
          <w:color w:val="auto"/>
        </w:rPr>
        <w:t>Natriumhydrogencarb</w:t>
      </w:r>
      <w:r w:rsidRPr="006E0DBF">
        <w:rPr>
          <w:color w:val="auto"/>
        </w:rPr>
        <w:t>o</w:t>
      </w:r>
      <w:r w:rsidRPr="006E0DBF">
        <w:rPr>
          <w:color w:val="auto"/>
        </w:rPr>
        <w:t>nat</w:t>
      </w:r>
      <w:r>
        <w:rPr>
          <w:color w:val="auto"/>
        </w:rPr>
        <w:t> (</w:t>
      </w:r>
      <w:r w:rsidRPr="006E0DBF">
        <w:rPr>
          <w:color w:val="auto"/>
        </w:rPr>
        <w:t>5 %), Calciumchlorid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dest</w:t>
      </w:r>
      <w:proofErr w:type="spellEnd"/>
      <w:r>
        <w:rPr>
          <w:color w:val="auto"/>
        </w:rPr>
        <w:t>. Wasser</w:t>
      </w:r>
    </w:p>
    <w:p w:rsidR="001C482E" w:rsidRDefault="001C482E" w:rsidP="001C482E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Die Analyselösung (z.B. Calciumchlorid) wird mit </w:t>
      </w:r>
      <w:proofErr w:type="spellStart"/>
      <w:r>
        <w:t>dest</w:t>
      </w:r>
      <w:proofErr w:type="spellEnd"/>
      <w:r>
        <w:t>. Wasser auf 100 </w:t>
      </w:r>
      <w:proofErr w:type="spellStart"/>
      <w:r>
        <w:t>mL</w:t>
      </w:r>
      <w:proofErr w:type="spellEnd"/>
      <w:r>
        <w:t xml:space="preserve"> aufgefüllt (Probenlösung). Davon werden nochmal 20 </w:t>
      </w:r>
      <w:proofErr w:type="spellStart"/>
      <w:r>
        <w:t>mL</w:t>
      </w:r>
      <w:proofErr w:type="spellEnd"/>
      <w:r>
        <w:t xml:space="preserve"> in einen 300 </w:t>
      </w:r>
      <w:proofErr w:type="spellStart"/>
      <w:r>
        <w:t>mL</w:t>
      </w:r>
      <w:proofErr w:type="spellEnd"/>
      <w:r>
        <w:t xml:space="preserve"> Erlenmeyerkolben pipettiert und auf 100 </w:t>
      </w:r>
      <w:proofErr w:type="spellStart"/>
      <w:r>
        <w:t>mL</w:t>
      </w:r>
      <w:proofErr w:type="spellEnd"/>
      <w:r>
        <w:t xml:space="preserve"> mit </w:t>
      </w:r>
      <w:proofErr w:type="spellStart"/>
      <w:r>
        <w:t>dest</w:t>
      </w:r>
      <w:proofErr w:type="spellEnd"/>
      <w:r>
        <w:t>. Wasser verdünnt. Nun wird 1 </w:t>
      </w:r>
      <w:proofErr w:type="spellStart"/>
      <w:r>
        <w:t>mL</w:t>
      </w:r>
      <w:proofErr w:type="spellEnd"/>
      <w:r>
        <w:t xml:space="preserve"> </w:t>
      </w:r>
      <w:proofErr w:type="spellStart"/>
      <w:r>
        <w:t>Fluorescin</w:t>
      </w:r>
      <w:proofErr w:type="spellEnd"/>
      <w:r>
        <w:t>-Lösung zugegeben und der pH-Wert wird mithi</w:t>
      </w:r>
      <w:r>
        <w:t>l</w:t>
      </w:r>
      <w:r>
        <w:t>fe der Zugabe von 5 %</w:t>
      </w:r>
      <w:proofErr w:type="spellStart"/>
      <w:r>
        <w:t>iger</w:t>
      </w:r>
      <w:proofErr w:type="spellEnd"/>
      <w:r>
        <w:t xml:space="preserve"> </w:t>
      </w:r>
      <w:proofErr w:type="spellStart"/>
      <w:r>
        <w:t>Natriumhydrogencarbonatlösung</w:t>
      </w:r>
      <w:proofErr w:type="spellEnd"/>
      <w:r>
        <w:t xml:space="preserve"> so eingestellt, dass innerhalb des pH-Bereichs 7-9 titriert werden kann. Es wird eine 0,05 M Silbernitratlösung hergestellt und in eine Bürette gefüllt, die an e</w:t>
      </w:r>
      <w:r>
        <w:t>i</w:t>
      </w:r>
      <w:r>
        <w:t>nem Stativ befestigt wird. Die Probenlösung wird auf einen Magnetrührer gestellt und mit der Silbernitrat-Lösung bis zum Farbumschlag titriert.</w:t>
      </w:r>
    </w:p>
    <w:p w:rsidR="001C482E" w:rsidRDefault="001C482E" w:rsidP="001C482E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Nach Zugabe 32,3 </w:t>
      </w:r>
      <w:proofErr w:type="spellStart"/>
      <w:r>
        <w:t>mL</w:t>
      </w:r>
      <w:proofErr w:type="spellEnd"/>
      <w:r>
        <w:t xml:space="preserve"> der Silbernitrat-Lösung kommt es zu einem Farbu</w:t>
      </w:r>
      <w:r>
        <w:t>m</w:t>
      </w:r>
      <w:r>
        <w:t>schlag von gelb-grün nach hell-pink.</w:t>
      </w:r>
    </w:p>
    <w:p w:rsidR="001C482E" w:rsidRDefault="001C482E" w:rsidP="001C482E">
      <w:pPr>
        <w:tabs>
          <w:tab w:val="left" w:pos="1701"/>
          <w:tab w:val="left" w:pos="1985"/>
        </w:tabs>
        <w:ind w:left="1980" w:hanging="1980"/>
      </w:pPr>
    </w:p>
    <w:p w:rsidR="001C482E" w:rsidRDefault="001C482E" w:rsidP="001C482E">
      <w:pPr>
        <w:tabs>
          <w:tab w:val="left" w:pos="1701"/>
          <w:tab w:val="left" w:pos="1985"/>
        </w:tabs>
        <w:ind w:left="1980" w:hanging="1980"/>
      </w:pPr>
      <w:bookmarkStart w:id="2" w:name="_GoBack"/>
      <w:bookmarkEnd w:id="2"/>
    </w:p>
    <w:p w:rsidR="001C482E" w:rsidRDefault="001C482E" w:rsidP="001C482E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 wp14:anchorId="209719B5" wp14:editId="5FC1EAC7">
            <wp:simplePos x="0" y="0"/>
            <wp:positionH relativeFrom="column">
              <wp:posOffset>1900554</wp:posOffset>
            </wp:positionH>
            <wp:positionV relativeFrom="paragraph">
              <wp:posOffset>14605</wp:posOffset>
            </wp:positionV>
            <wp:extent cx="2295525" cy="27464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9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95525" cy="2746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82E" w:rsidRDefault="001C482E" w:rsidP="001C482E">
      <w:pPr>
        <w:pStyle w:val="Beschriftung"/>
        <w:jc w:val="left"/>
      </w:pPr>
    </w:p>
    <w:p w:rsidR="001C482E" w:rsidRDefault="001C482E" w:rsidP="001C482E">
      <w:pPr>
        <w:pStyle w:val="Beschriftung"/>
        <w:jc w:val="left"/>
      </w:pPr>
    </w:p>
    <w:p w:rsidR="001C482E" w:rsidRDefault="001C482E" w:rsidP="001C482E">
      <w:pPr>
        <w:pStyle w:val="Beschriftung"/>
        <w:jc w:val="left"/>
      </w:pPr>
    </w:p>
    <w:p w:rsidR="001C482E" w:rsidRDefault="001C482E" w:rsidP="001C482E">
      <w:pPr>
        <w:pStyle w:val="Beschriftung"/>
        <w:jc w:val="left"/>
      </w:pPr>
    </w:p>
    <w:p w:rsidR="001C482E" w:rsidRDefault="001C482E" w:rsidP="001C482E">
      <w:pPr>
        <w:pStyle w:val="Beschriftung"/>
        <w:jc w:val="left"/>
      </w:pPr>
    </w:p>
    <w:p w:rsidR="001C482E" w:rsidRDefault="001C482E" w:rsidP="001C482E">
      <w:pPr>
        <w:pStyle w:val="Beschriftung"/>
        <w:jc w:val="left"/>
      </w:pPr>
    </w:p>
    <w:p w:rsidR="001C482E" w:rsidRDefault="001C482E" w:rsidP="001C482E">
      <w:pPr>
        <w:pStyle w:val="Beschriftung"/>
        <w:jc w:val="left"/>
      </w:pPr>
    </w:p>
    <w:p w:rsidR="001C482E" w:rsidRDefault="001C482E" w:rsidP="001C482E">
      <w:pPr>
        <w:pStyle w:val="Beschriftung"/>
        <w:jc w:val="left"/>
      </w:pPr>
    </w:p>
    <w:p w:rsidR="001C482E" w:rsidRDefault="001C482E" w:rsidP="001C482E">
      <w:pPr>
        <w:pStyle w:val="Beschriftung"/>
        <w:jc w:val="left"/>
      </w:pPr>
    </w:p>
    <w:p w:rsidR="001C482E" w:rsidRDefault="001C482E" w:rsidP="001C482E">
      <w:pPr>
        <w:pStyle w:val="Beschriftung"/>
        <w:jc w:val="lef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47A21" wp14:editId="471E1DAD">
                <wp:simplePos x="0" y="0"/>
                <wp:positionH relativeFrom="column">
                  <wp:posOffset>1881505</wp:posOffset>
                </wp:positionH>
                <wp:positionV relativeFrom="paragraph">
                  <wp:posOffset>34925</wp:posOffset>
                </wp:positionV>
                <wp:extent cx="2314575" cy="63817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2E" w:rsidRPr="00D93D47" w:rsidRDefault="001C482E" w:rsidP="001C482E">
                            <w:pPr>
                              <w:rPr>
                                <w:sz w:val="18"/>
                              </w:rPr>
                            </w:pPr>
                            <w:r w:rsidRPr="00D93D47">
                              <w:rPr>
                                <w:sz w:val="18"/>
                              </w:rPr>
                              <w:t xml:space="preserve">Abb. 1 </w:t>
                            </w:r>
                            <w:proofErr w:type="spellStart"/>
                            <w:r w:rsidRPr="00D93D47">
                              <w:rPr>
                                <w:sz w:val="18"/>
                              </w:rPr>
                              <w:t>Calciumchloridlösung</w:t>
                            </w:r>
                            <w:proofErr w:type="spellEnd"/>
                            <w:r w:rsidRPr="00D93D47">
                              <w:rPr>
                                <w:sz w:val="18"/>
                              </w:rPr>
                              <w:t xml:space="preserve"> mit </w:t>
                            </w:r>
                            <w:proofErr w:type="spellStart"/>
                            <w:r w:rsidRPr="00D93D47">
                              <w:rPr>
                                <w:sz w:val="18"/>
                              </w:rPr>
                              <w:t>Fl</w:t>
                            </w:r>
                            <w:r w:rsidRPr="00D93D47">
                              <w:rPr>
                                <w:sz w:val="18"/>
                              </w:rPr>
                              <w:t>u</w:t>
                            </w:r>
                            <w:r w:rsidRPr="00D93D47">
                              <w:rPr>
                                <w:sz w:val="18"/>
                              </w:rPr>
                              <w:t>orescin</w:t>
                            </w:r>
                            <w:proofErr w:type="spellEnd"/>
                            <w:r w:rsidRPr="00D93D47">
                              <w:rPr>
                                <w:sz w:val="18"/>
                              </w:rPr>
                              <w:t xml:space="preserve">-Farbstoff. Die Fluoreszenz der Lösung ist </w:t>
                            </w:r>
                            <w:r>
                              <w:rPr>
                                <w:sz w:val="18"/>
                              </w:rPr>
                              <w:t>deutlich</w:t>
                            </w:r>
                            <w:r w:rsidRPr="00D93D47">
                              <w:rPr>
                                <w:sz w:val="18"/>
                              </w:rPr>
                              <w:t xml:space="preserve"> erkennbar.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8.15pt;margin-top:2.75pt;width:182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" filled="f" stroked="f">
                <v:textbox>
                  <w:txbxContent>
                    <w:p w:rsidR="001C482E" w:rsidRPr="00D93D47" w:rsidRDefault="001C482E" w:rsidP="001C482E">
                      <w:pPr>
                        <w:rPr>
                          <w:sz w:val="18"/>
                        </w:rPr>
                      </w:pPr>
                      <w:r w:rsidRPr="00D93D47">
                        <w:rPr>
                          <w:sz w:val="18"/>
                        </w:rPr>
                        <w:t xml:space="preserve">Abb. 1 </w:t>
                      </w:r>
                      <w:proofErr w:type="spellStart"/>
                      <w:r w:rsidRPr="00D93D47">
                        <w:rPr>
                          <w:sz w:val="18"/>
                        </w:rPr>
                        <w:t>Calciumchloridlösung</w:t>
                      </w:r>
                      <w:proofErr w:type="spellEnd"/>
                      <w:r w:rsidRPr="00D93D47">
                        <w:rPr>
                          <w:sz w:val="18"/>
                        </w:rPr>
                        <w:t xml:space="preserve"> mit </w:t>
                      </w:r>
                      <w:proofErr w:type="spellStart"/>
                      <w:r w:rsidRPr="00D93D47">
                        <w:rPr>
                          <w:sz w:val="18"/>
                        </w:rPr>
                        <w:t>Fl</w:t>
                      </w:r>
                      <w:r w:rsidRPr="00D93D47">
                        <w:rPr>
                          <w:sz w:val="18"/>
                        </w:rPr>
                        <w:t>u</w:t>
                      </w:r>
                      <w:r w:rsidRPr="00D93D47">
                        <w:rPr>
                          <w:sz w:val="18"/>
                        </w:rPr>
                        <w:t>orescin</w:t>
                      </w:r>
                      <w:proofErr w:type="spellEnd"/>
                      <w:r w:rsidRPr="00D93D47">
                        <w:rPr>
                          <w:sz w:val="18"/>
                        </w:rPr>
                        <w:t xml:space="preserve">-Farbstoff. Die Fluoreszenz der Lösung ist </w:t>
                      </w:r>
                      <w:r>
                        <w:rPr>
                          <w:sz w:val="18"/>
                        </w:rPr>
                        <w:t>deutlich</w:t>
                      </w:r>
                      <w:r w:rsidRPr="00D93D47">
                        <w:rPr>
                          <w:sz w:val="18"/>
                        </w:rPr>
                        <w:t xml:space="preserve"> erkennbar.</w:t>
                      </w:r>
                    </w:p>
                  </w:txbxContent>
                </v:textbox>
              </v:shape>
            </w:pict>
          </mc:Fallback>
        </mc:AlternateContent>
      </w:r>
    </w:p>
    <w:p w:rsidR="001C482E" w:rsidRDefault="001C482E" w:rsidP="001C482E">
      <w:pPr>
        <w:pStyle w:val="Beschriftung"/>
        <w:jc w:val="left"/>
      </w:pPr>
    </w:p>
    <w:p w:rsidR="001C482E" w:rsidRDefault="001C482E" w:rsidP="001C482E">
      <w:pPr>
        <w:pStyle w:val="Beschriftung"/>
        <w:jc w:val="left"/>
      </w:pPr>
    </w:p>
    <w:p w:rsidR="001C482E" w:rsidRDefault="001C482E" w:rsidP="001C482E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Die Reaktionsgleichung lautet:</w:t>
      </w:r>
    </w:p>
    <w:p w:rsidR="001C482E" w:rsidRPr="00BC6B1D" w:rsidRDefault="001C482E" w:rsidP="001C482E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Ag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→AgCl↓</m:t>
          </m:r>
        </m:oMath>
      </m:oMathPara>
    </w:p>
    <w:p w:rsidR="001C482E" w:rsidRDefault="001C482E" w:rsidP="001C482E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Aus der Reaktionsgleichung ist erkennbar, dass 1 Mol AgNO</w:t>
      </w:r>
      <w:r w:rsidRPr="00B1645B"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die Menge von 1 Mol Chlorid umsetzt.</w:t>
      </w:r>
    </w:p>
    <w:p w:rsidR="001C482E" w:rsidRDefault="001C482E" w:rsidP="001C482E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Berechnung der Konzentration an </w:t>
      </w:r>
      <w:proofErr w:type="spellStart"/>
      <w:r>
        <w:rPr>
          <w:rFonts w:eastAsiaTheme="minorEastAsia"/>
        </w:rPr>
        <w:t>Chloridionen</w:t>
      </w:r>
      <w:proofErr w:type="spellEnd"/>
      <w:r>
        <w:rPr>
          <w:rFonts w:eastAsiaTheme="minorEastAsia"/>
        </w:rPr>
        <w:t>:</w:t>
      </w:r>
    </w:p>
    <w:p w:rsidR="001C482E" w:rsidRPr="004417FB" w:rsidRDefault="001C482E" w:rsidP="001C482E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4417FB">
        <w:rPr>
          <w:rFonts w:eastAsiaTheme="minorEastAsia"/>
        </w:rPr>
        <w:tab/>
      </w:r>
      <w:r w:rsidRPr="004417FB">
        <w:rPr>
          <w:rFonts w:eastAsiaTheme="minorEastAsia"/>
        </w:rPr>
        <w:tab/>
      </w:r>
      <w:r w:rsidRPr="004417FB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)∙V(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0,05</m:t>
            </m:r>
            <m:f>
              <m:fPr>
                <m:ctrlPr>
                  <w:rPr>
                    <w:rFonts w:ascii="Cambria Math" w:hAnsi="Cambria Math"/>
                    <w:sz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mol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0"/>
              </w:rPr>
              <m:t>∙43,3 mL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20 mL</m:t>
            </m:r>
          </m:den>
        </m:f>
        <m:r>
          <m:rPr>
            <m:sty m:val="p"/>
          </m:rPr>
          <w:rPr>
            <w:rFonts w:ascii="Cambria Math" w:hAnsi="Cambria Math"/>
            <w:sz w:val="20"/>
          </w:rPr>
          <m:t>=0,11 mol/L</m:t>
        </m:r>
      </m:oMath>
    </w:p>
    <w:p w:rsidR="001C482E" w:rsidRDefault="001C482E" w:rsidP="001C482E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Am Äquivalenzpunkt sind die </w:t>
      </w:r>
      <w:proofErr w:type="spellStart"/>
      <w:r>
        <w:rPr>
          <w:rFonts w:eastAsiaTheme="minorEastAsia"/>
        </w:rPr>
        <w:t>Chloridionen</w:t>
      </w:r>
      <w:proofErr w:type="spellEnd"/>
      <w:r>
        <w:rPr>
          <w:rFonts w:eastAsiaTheme="minorEastAsia"/>
        </w:rPr>
        <w:t xml:space="preserve"> vollständig mit dem zugesetzten Silbernitrat umgesetzt, so dass sich der Überschuss an </w:t>
      </w:r>
      <w:proofErr w:type="spellStart"/>
      <w:r>
        <w:rPr>
          <w:rFonts w:eastAsiaTheme="minorEastAsia"/>
        </w:rPr>
        <w:t>Silberi</w:t>
      </w:r>
      <w:r>
        <w:rPr>
          <w:rFonts w:eastAsiaTheme="minorEastAsia"/>
        </w:rPr>
        <w:t>o</w:t>
      </w:r>
      <w:r>
        <w:rPr>
          <w:rFonts w:eastAsiaTheme="minorEastAsia"/>
        </w:rPr>
        <w:t>nen</w:t>
      </w:r>
      <w:proofErr w:type="spellEnd"/>
      <w:r>
        <w:rPr>
          <w:rFonts w:eastAsiaTheme="minorEastAsia"/>
        </w:rPr>
        <w:t> (</w:t>
      </w:r>
      <w:proofErr w:type="spellStart"/>
      <w:r>
        <w:rPr>
          <w:rFonts w:eastAsiaTheme="minorEastAsia"/>
        </w:rPr>
        <w:t>Ag</w:t>
      </w:r>
      <w:proofErr w:type="spellEnd"/>
      <w:r w:rsidRPr="00B1645B">
        <w:rPr>
          <w:rFonts w:eastAsiaTheme="minorEastAsia"/>
          <w:vertAlign w:val="superscript"/>
        </w:rPr>
        <w:t>+</w:t>
      </w:r>
      <w:r>
        <w:rPr>
          <w:rFonts w:eastAsiaTheme="minorEastAsia"/>
        </w:rPr>
        <w:t xml:space="preserve">) sich an die Silberchloride anlagern und positiv </w:t>
      </w:r>
      <w:proofErr w:type="gramStart"/>
      <w:r>
        <w:rPr>
          <w:rFonts w:eastAsiaTheme="minorEastAsia"/>
        </w:rPr>
        <w:t>aufladen</w:t>
      </w:r>
      <w:proofErr w:type="gramEnd"/>
      <w:r>
        <w:rPr>
          <w:rFonts w:eastAsiaTheme="minorEastAsia"/>
        </w:rPr>
        <w:t>. An di</w:t>
      </w:r>
      <w:r>
        <w:rPr>
          <w:rFonts w:eastAsiaTheme="minorEastAsia"/>
        </w:rPr>
        <w:t>e</w:t>
      </w:r>
      <w:r>
        <w:rPr>
          <w:rFonts w:eastAsiaTheme="minorEastAsia"/>
        </w:rPr>
        <w:t xml:space="preserve">sen lagern sich die Anionen des Farbstoffs </w:t>
      </w:r>
      <w:proofErr w:type="spellStart"/>
      <w:r>
        <w:rPr>
          <w:rFonts w:eastAsiaTheme="minorEastAsia"/>
        </w:rPr>
        <w:t>Fluorescin</w:t>
      </w:r>
      <w:proofErr w:type="spellEnd"/>
      <w:r>
        <w:rPr>
          <w:rFonts w:eastAsiaTheme="minorEastAsia"/>
        </w:rPr>
        <w:t xml:space="preserve"> an und verändern ihre </w:t>
      </w:r>
      <w:proofErr w:type="spellStart"/>
      <w:r>
        <w:rPr>
          <w:rFonts w:eastAsiaTheme="minorEastAsia"/>
        </w:rPr>
        <w:t>Molekulstruktur</w:t>
      </w:r>
      <w:proofErr w:type="spellEnd"/>
      <w:r>
        <w:rPr>
          <w:rFonts w:eastAsiaTheme="minorEastAsia"/>
        </w:rPr>
        <w:t>. Es kommt zu einem Farbumschlag.</w:t>
      </w:r>
    </w:p>
    <w:p w:rsidR="001C482E" w:rsidRDefault="001C482E" w:rsidP="001C482E">
      <w:pPr>
        <w:spacing w:line="276" w:lineRule="auto"/>
        <w:ind w:left="2124" w:hanging="2124"/>
        <w:jc w:val="left"/>
      </w:pPr>
      <w:r>
        <w:t>Entsorgung:</w:t>
      </w:r>
      <w:r>
        <w:tab/>
        <w:t xml:space="preserve">Die Entsorgung der silberhaltigen Lösung erfolgt über die anorganischen Abfälle mit Schwermetallen. </w:t>
      </w:r>
    </w:p>
    <w:p w:rsidR="001C482E" w:rsidRDefault="001C482E" w:rsidP="001C482E">
      <w:pPr>
        <w:pStyle w:val="Literaturverzeichnis"/>
        <w:ind w:left="2124" w:hanging="2124"/>
        <w:rPr>
          <w:noProof/>
          <w:sz w:val="20"/>
        </w:rPr>
      </w:pPr>
      <w:r>
        <w:t>Literatur:</w:t>
      </w:r>
      <w:r>
        <w:tab/>
      </w:r>
      <w:r w:rsidRPr="000F75EE">
        <w:rPr>
          <w:i/>
          <w:iCs/>
          <w:noProof/>
          <w:sz w:val="20"/>
        </w:rPr>
        <w:t>Universität Bochum</w:t>
      </w:r>
      <w:r w:rsidRPr="000F75EE">
        <w:rPr>
          <w:noProof/>
          <w:sz w:val="20"/>
        </w:rPr>
        <w:t>. Abgerufen am 9. August 2015 von www.ruhr-uni-bochum.de/quanti-praktikum/versuche/beschreibungen/v253_nach_fajans.pdf</w:t>
      </w:r>
    </w:p>
    <w:p w:rsidR="001C482E" w:rsidRPr="000F75EE" w:rsidRDefault="001C482E" w:rsidP="001C482E">
      <w:pPr>
        <w:ind w:left="2124"/>
      </w:pPr>
      <w:r>
        <w:rPr>
          <w:noProof/>
        </w:rPr>
        <w:t>Lickl, E. (2014/15). Abgerufen am 9. August 2015 von www.lickl.net/doku/fällungsmassanalyse.pdf</w:t>
      </w:r>
    </w:p>
    <w:p w:rsidR="001C482E" w:rsidRPr="000F75EE" w:rsidRDefault="001C482E" w:rsidP="001C482E"/>
    <w:p w:rsidR="001C482E" w:rsidRDefault="001C482E" w:rsidP="001C482E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inline distT="0" distB="0" distL="0" distR="0" wp14:anchorId="1CB51634" wp14:editId="6A218FFF">
                <wp:extent cx="5873115" cy="1104900"/>
                <wp:effectExtent l="0" t="0" r="13335" b="19050"/>
                <wp:docPr id="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104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482E" w:rsidRPr="00F31EBF" w:rsidRDefault="001C482E" w:rsidP="001C482E">
                            <w:pPr>
                              <w:rPr>
                                <w:color w:val="auto"/>
                              </w:rPr>
                            </w:pPr>
                            <w:r w:rsidRPr="009B42DC">
                              <w:rPr>
                                <w:b/>
                                <w:color w:val="auto"/>
                              </w:rPr>
                              <w:t>Anmerkungen:</w:t>
                            </w:r>
                            <w:r>
                              <w:rPr>
                                <w:color w:val="auto"/>
                              </w:rPr>
                              <w:t xml:space="preserve"> Eventuell ist es bei der Deutung sinnvoll, eine didaktische Reduktion vorz</w:t>
                            </w:r>
                            <w:r>
                              <w:rPr>
                                <w:color w:val="auto"/>
                              </w:rPr>
                              <w:t>u</w:t>
                            </w:r>
                            <w:r>
                              <w:rPr>
                                <w:color w:val="auto"/>
                              </w:rPr>
                              <w:t xml:space="preserve">nehmen und sich nur auf die Reaktionsgleichung und Bestimmung des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Chloridgehalts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zu b</w:t>
                            </w:r>
                            <w:r>
                              <w:rPr>
                                <w:color w:val="auto"/>
                              </w:rPr>
                              <w:t>e</w:t>
                            </w:r>
                            <w:r>
                              <w:rPr>
                                <w:color w:val="auto"/>
                              </w:rPr>
                              <w:t>schränken, da der genaue Prozess der Ausfällung und Farbumschlag für die Schüler_innen zu komplex sein kann.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ye7gIAADM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1C482E" w:rsidRPr="00F31EBF" w:rsidRDefault="001C482E" w:rsidP="001C482E">
                      <w:pPr>
                        <w:rPr>
                          <w:color w:val="auto"/>
                        </w:rPr>
                      </w:pPr>
                      <w:r w:rsidRPr="009B42DC">
                        <w:rPr>
                          <w:b/>
                          <w:color w:val="auto"/>
                        </w:rPr>
                        <w:t>Anmerkungen:</w:t>
                      </w:r>
                      <w:r>
                        <w:rPr>
                          <w:color w:val="auto"/>
                        </w:rPr>
                        <w:t xml:space="preserve"> Eventuell ist es bei der Deutung sinnvoll, eine didaktische Reduktion vorz</w:t>
                      </w:r>
                      <w:r>
                        <w:rPr>
                          <w:color w:val="auto"/>
                        </w:rPr>
                        <w:t>u</w:t>
                      </w:r>
                      <w:r>
                        <w:rPr>
                          <w:color w:val="auto"/>
                        </w:rPr>
                        <w:t xml:space="preserve">nehmen und sich nur auf die Reaktionsgleichung und Bestimmung des </w:t>
                      </w:r>
                      <w:proofErr w:type="spellStart"/>
                      <w:r>
                        <w:rPr>
                          <w:color w:val="auto"/>
                        </w:rPr>
                        <w:t>Chloridgehalts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zu b</w:t>
                      </w:r>
                      <w:r>
                        <w:rPr>
                          <w:color w:val="auto"/>
                        </w:rPr>
                        <w:t>e</w:t>
                      </w:r>
                      <w:r>
                        <w:rPr>
                          <w:color w:val="auto"/>
                        </w:rPr>
                        <w:t>schränken, da der genaue Prozess der Ausfällung und Farbumschlag für die Schüler_innen zu komplex sein kann.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5660" w:rsidRDefault="001C482E"/>
    <w:sectPr w:rsidR="005556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E"/>
    <w:rsid w:val="001B7B06"/>
    <w:rsid w:val="001C482E"/>
    <w:rsid w:val="00531888"/>
    <w:rsid w:val="00663385"/>
    <w:rsid w:val="006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82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482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482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482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482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482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482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482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482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482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482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482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C482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48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48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48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4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48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48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C482E"/>
    <w:pPr>
      <w:spacing w:line="240" w:lineRule="auto"/>
    </w:pPr>
    <w:rPr>
      <w:bCs/>
      <w:color w:val="auto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1C48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82E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82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482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482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482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482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482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482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482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482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482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482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482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C482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48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48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48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4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48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48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C482E"/>
    <w:pPr>
      <w:spacing w:line="240" w:lineRule="auto"/>
    </w:pPr>
    <w:rPr>
      <w:bCs/>
      <w:color w:val="auto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1C48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82E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2011</Characters>
  <Application>Microsoft Office Word</Application>
  <DocSecurity>0</DocSecurity>
  <Lines>16</Lines>
  <Paragraphs>4</Paragraphs>
  <ScaleCrop>false</ScaleCrop>
  <Company>Office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Jans</cp:lastModifiedBy>
  <cp:revision>1</cp:revision>
  <dcterms:created xsi:type="dcterms:W3CDTF">2015-08-27T15:31:00Z</dcterms:created>
  <dcterms:modified xsi:type="dcterms:W3CDTF">2015-08-27T15:32:00Z</dcterms:modified>
</cp:coreProperties>
</file>