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89" w:rsidRDefault="00ED3D89" w:rsidP="00ED3D89">
      <w:pPr>
        <w:tabs>
          <w:tab w:val="left" w:pos="1701"/>
          <w:tab w:val="left" w:pos="1985"/>
        </w:tabs>
        <w:rPr>
          <w:b/>
          <w:sz w:val="24"/>
        </w:rPr>
      </w:pP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0F7868" wp14:editId="0C8AF0C6">
                <wp:simplePos x="0" y="0"/>
                <wp:positionH relativeFrom="column">
                  <wp:posOffset>-118745</wp:posOffset>
                </wp:positionH>
                <wp:positionV relativeFrom="paragraph">
                  <wp:posOffset>262255</wp:posOffset>
                </wp:positionV>
                <wp:extent cx="5873115" cy="1143000"/>
                <wp:effectExtent l="0" t="0" r="13335" b="19050"/>
                <wp:wrapNone/>
                <wp:docPr id="35" name="Textfeld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D89" w:rsidRPr="00D72F6E" w:rsidRDefault="00ED3D89" w:rsidP="00ED3D89">
                            <w:pPr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 w:rsidRPr="00D72F6E">
                              <w:rPr>
                                <w:sz w:val="20"/>
                                <w:szCs w:val="20"/>
                              </w:rPr>
                              <w:t xml:space="preserve">Die Säure-Base-Titration stellt ein maßanalytisches Verfahren dar zur Bestimmung der Konzentration einer Säure bzw. Base durch definierte Zugabe einer Säure bzw. Base bekannter Konzentration. Dabei wird der pH-Wert mithilfe des </w:t>
                            </w:r>
                            <w:proofErr w:type="spellStart"/>
                            <w:r w:rsidRPr="00D72F6E">
                              <w:rPr>
                                <w:sz w:val="20"/>
                                <w:szCs w:val="20"/>
                              </w:rPr>
                              <w:t>Cobra</w:t>
                            </w:r>
                            <w:proofErr w:type="spellEnd"/>
                            <w:r w:rsidRPr="00D72F6E">
                              <w:rPr>
                                <w:sz w:val="20"/>
                                <w:szCs w:val="20"/>
                              </w:rPr>
                              <w:t xml:space="preserve"> 4 Wireless-Link Geräts gemessen. Der pH-Wert ist der negative dekadische Logarithmus der Konzentration an </w:t>
                            </w:r>
                            <w:proofErr w:type="spellStart"/>
                            <w:r w:rsidRPr="00D72F6E">
                              <w:rPr>
                                <w:sz w:val="20"/>
                                <w:szCs w:val="20"/>
                              </w:rPr>
                              <w:t>Hydronium</w:t>
                            </w:r>
                            <w:proofErr w:type="spellEnd"/>
                            <w:r w:rsidRPr="00D72F6E">
                              <w:rPr>
                                <w:sz w:val="20"/>
                                <w:szCs w:val="20"/>
                              </w:rPr>
                              <w:t>-Ionen, welches gegen das Volumen der Zug</w:t>
                            </w:r>
                            <w:r w:rsidRPr="00D72F6E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D72F6E">
                              <w:rPr>
                                <w:sz w:val="20"/>
                                <w:szCs w:val="20"/>
                              </w:rPr>
                              <w:t>be der Natronlauge aufgetragen wird.</w:t>
                            </w:r>
                          </w:p>
                          <w:p w:rsidR="00ED3D89" w:rsidRPr="00D72F6E" w:rsidRDefault="00ED3D89" w:rsidP="00ED3D89">
                            <w:pPr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5" o:spid="_x0000_s1026" type="#_x0000_t202" style="position:absolute;left:0;text-align:left;margin-left:-9.35pt;margin-top:20.65pt;width:462.4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" strokecolor="#c0504d" strokeweight="1pt">
                <v:stroke dashstyle="dash"/>
                <v:shadow color="#868686"/>
                <v:textbox>
                  <w:txbxContent>
                    <w:p w:rsidR="00ED3D89" w:rsidRPr="00D72F6E" w:rsidRDefault="00ED3D89" w:rsidP="00ED3D89">
                      <w:pPr>
                        <w:ind w:right="8"/>
                        <w:rPr>
                          <w:sz w:val="20"/>
                          <w:szCs w:val="20"/>
                        </w:rPr>
                      </w:pPr>
                      <w:r w:rsidRPr="00D72F6E">
                        <w:rPr>
                          <w:sz w:val="20"/>
                          <w:szCs w:val="20"/>
                        </w:rPr>
                        <w:t xml:space="preserve">Die Säure-Base-Titration stellt ein maßanalytisches Verfahren dar zur Bestimmung der Konzentration einer Säure bzw. Base durch definierte Zugabe einer Säure bzw. Base bekannter Konzentration. Dabei wird der pH-Wert mithilfe des </w:t>
                      </w:r>
                      <w:proofErr w:type="spellStart"/>
                      <w:r w:rsidRPr="00D72F6E">
                        <w:rPr>
                          <w:sz w:val="20"/>
                          <w:szCs w:val="20"/>
                        </w:rPr>
                        <w:t>Cobra</w:t>
                      </w:r>
                      <w:proofErr w:type="spellEnd"/>
                      <w:r w:rsidRPr="00D72F6E">
                        <w:rPr>
                          <w:sz w:val="20"/>
                          <w:szCs w:val="20"/>
                        </w:rPr>
                        <w:t xml:space="preserve"> 4 Wireless-Link Geräts gemessen. Der pH-Wert ist der negative dekadische Logarithmus der Konzentration an </w:t>
                      </w:r>
                      <w:proofErr w:type="spellStart"/>
                      <w:r w:rsidRPr="00D72F6E">
                        <w:rPr>
                          <w:sz w:val="20"/>
                          <w:szCs w:val="20"/>
                        </w:rPr>
                        <w:t>Hydronium</w:t>
                      </w:r>
                      <w:proofErr w:type="spellEnd"/>
                      <w:r w:rsidRPr="00D72F6E">
                        <w:rPr>
                          <w:sz w:val="20"/>
                          <w:szCs w:val="20"/>
                        </w:rPr>
                        <w:t>-Ionen, welches gegen das Volumen der Zug</w:t>
                      </w:r>
                      <w:r w:rsidRPr="00D72F6E">
                        <w:rPr>
                          <w:sz w:val="20"/>
                          <w:szCs w:val="20"/>
                        </w:rPr>
                        <w:t>a</w:t>
                      </w:r>
                      <w:r w:rsidRPr="00D72F6E">
                        <w:rPr>
                          <w:sz w:val="20"/>
                          <w:szCs w:val="20"/>
                        </w:rPr>
                        <w:t>be der Natronlauge aufgetragen wird.</w:t>
                      </w:r>
                    </w:p>
                    <w:p w:rsidR="00ED3D89" w:rsidRPr="00D72F6E" w:rsidRDefault="00ED3D89" w:rsidP="00ED3D89">
                      <w:pPr>
                        <w:ind w:right="8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de-DE"/>
        </w:rPr>
        <w:drawing>
          <wp:anchor distT="0" distB="0" distL="114300" distR="114300" simplePos="0" relativeHeight="251660288" behindDoc="1" locked="0" layoutInCell="1" allowOverlap="1" wp14:anchorId="49438EE1" wp14:editId="3FCD3B5C">
            <wp:simplePos x="0" y="0"/>
            <wp:positionH relativeFrom="column">
              <wp:posOffset>5081905</wp:posOffset>
            </wp:positionH>
            <wp:positionV relativeFrom="paragraph">
              <wp:posOffset>-242570</wp:posOffset>
            </wp:positionV>
            <wp:extent cx="504190" cy="504190"/>
            <wp:effectExtent l="0" t="0" r="0" b="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047">
        <w:rPr>
          <w:b/>
          <w:sz w:val="24"/>
        </w:rPr>
        <w:t>Arbeitsblatt –</w:t>
      </w:r>
      <w:r>
        <w:rPr>
          <w:b/>
          <w:sz w:val="24"/>
        </w:rPr>
        <w:t xml:space="preserve"> Säure-Base-Titration</w:t>
      </w:r>
    </w:p>
    <w:p w:rsidR="00ED3D89" w:rsidRDefault="00ED3D89" w:rsidP="00ED3D89">
      <w:pPr>
        <w:tabs>
          <w:tab w:val="left" w:pos="1701"/>
        </w:tabs>
        <w:rPr>
          <w:b/>
          <w:sz w:val="28"/>
        </w:rPr>
      </w:pPr>
      <w:r>
        <w:rPr>
          <w:b/>
          <w:sz w:val="28"/>
        </w:rPr>
        <w:tab/>
      </w:r>
    </w:p>
    <w:p w:rsidR="00ED3D89" w:rsidRDefault="00ED3D89" w:rsidP="00ED3D89">
      <w:pPr>
        <w:tabs>
          <w:tab w:val="left" w:pos="1701"/>
          <w:tab w:val="left" w:pos="1985"/>
        </w:tabs>
        <w:rPr>
          <w:b/>
          <w:sz w:val="28"/>
        </w:rPr>
      </w:pPr>
    </w:p>
    <w:p w:rsidR="00ED3D89" w:rsidRDefault="00ED3D89" w:rsidP="00ED3D89">
      <w:pPr>
        <w:tabs>
          <w:tab w:val="left" w:pos="1701"/>
          <w:tab w:val="left" w:pos="1985"/>
        </w:tabs>
        <w:ind w:left="1980" w:hanging="1980"/>
        <w:rPr>
          <w:sz w:val="20"/>
        </w:rPr>
      </w:pPr>
    </w:p>
    <w:p w:rsidR="00ED3D89" w:rsidRPr="00D72F6E" w:rsidRDefault="00ED3D89" w:rsidP="00ED3D89">
      <w:pPr>
        <w:tabs>
          <w:tab w:val="left" w:pos="1701"/>
          <w:tab w:val="left" w:pos="1985"/>
        </w:tabs>
        <w:ind w:left="1980" w:hanging="1980"/>
        <w:rPr>
          <w:sz w:val="20"/>
        </w:rPr>
      </w:pPr>
      <w:r w:rsidRPr="00D72F6E">
        <w:rPr>
          <w:sz w:val="20"/>
        </w:rPr>
        <w:t xml:space="preserve">Materialien: </w:t>
      </w:r>
      <w:r w:rsidRPr="00D72F6E">
        <w:rPr>
          <w:sz w:val="20"/>
        </w:rPr>
        <w:tab/>
      </w:r>
      <w:r w:rsidRPr="00D72F6E">
        <w:rPr>
          <w:sz w:val="20"/>
        </w:rPr>
        <w:tab/>
        <w:t>50 </w:t>
      </w:r>
      <w:proofErr w:type="spellStart"/>
      <w:r w:rsidRPr="00D72F6E">
        <w:rPr>
          <w:sz w:val="20"/>
        </w:rPr>
        <w:t>mL</w:t>
      </w:r>
      <w:proofErr w:type="spellEnd"/>
      <w:r w:rsidRPr="00D72F6E">
        <w:rPr>
          <w:sz w:val="20"/>
        </w:rPr>
        <w:t xml:space="preserve"> Bürette mit Halterung, 100 </w:t>
      </w:r>
      <w:proofErr w:type="spellStart"/>
      <w:r w:rsidRPr="00D72F6E">
        <w:rPr>
          <w:sz w:val="20"/>
        </w:rPr>
        <w:t>mL</w:t>
      </w:r>
      <w:proofErr w:type="spellEnd"/>
      <w:r w:rsidRPr="00D72F6E">
        <w:rPr>
          <w:sz w:val="20"/>
        </w:rPr>
        <w:t xml:space="preserve"> Becherglas, Magnetrührer mit Rührmagnet, </w:t>
      </w:r>
      <w:proofErr w:type="spellStart"/>
      <w:r w:rsidRPr="00D72F6E">
        <w:rPr>
          <w:sz w:val="20"/>
        </w:rPr>
        <w:t>Cobra</w:t>
      </w:r>
      <w:proofErr w:type="spellEnd"/>
      <w:r w:rsidRPr="00D72F6E">
        <w:rPr>
          <w:sz w:val="20"/>
        </w:rPr>
        <w:t xml:space="preserve"> 4 Wireless-Link mit Wireless Manager, pH-Elektrode (PHYWE GmbH), Co</w:t>
      </w:r>
      <w:r w:rsidRPr="00D72F6E">
        <w:rPr>
          <w:sz w:val="20"/>
        </w:rPr>
        <w:t>m</w:t>
      </w:r>
      <w:r w:rsidRPr="00D72F6E">
        <w:rPr>
          <w:sz w:val="20"/>
        </w:rPr>
        <w:t xml:space="preserve">puter mit Messsoftware </w:t>
      </w:r>
      <w:proofErr w:type="spellStart"/>
      <w:r w:rsidRPr="00D72F6E">
        <w:rPr>
          <w:sz w:val="20"/>
        </w:rPr>
        <w:t>measure</w:t>
      </w:r>
      <w:proofErr w:type="spellEnd"/>
    </w:p>
    <w:p w:rsidR="00ED3D89" w:rsidRPr="00D72F6E" w:rsidRDefault="00ED3D89" w:rsidP="00ED3D89">
      <w:pPr>
        <w:tabs>
          <w:tab w:val="left" w:pos="1701"/>
          <w:tab w:val="left" w:pos="1985"/>
        </w:tabs>
        <w:ind w:left="1980" w:hanging="1980"/>
        <w:rPr>
          <w:sz w:val="20"/>
        </w:rPr>
      </w:pPr>
      <w:r w:rsidRPr="00D72F6E">
        <w:rPr>
          <w:sz w:val="20"/>
        </w:rPr>
        <w:t>Chemikalien:</w:t>
      </w:r>
      <w:r w:rsidRPr="00D72F6E">
        <w:rPr>
          <w:sz w:val="20"/>
        </w:rPr>
        <w:tab/>
      </w:r>
      <w:r w:rsidRPr="00D72F6E">
        <w:rPr>
          <w:sz w:val="20"/>
        </w:rPr>
        <w:tab/>
        <w:t>Salzsäure, Natriumhydroxid, Wasser</w:t>
      </w:r>
    </w:p>
    <w:p w:rsidR="00ED3D89" w:rsidRDefault="00ED3D89" w:rsidP="00ED3D89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</w:p>
    <w:p w:rsidR="00ED3D89" w:rsidRDefault="00ED3D89" w:rsidP="00ED3D89">
      <w:pPr>
        <w:pStyle w:val="Listenabsatz"/>
        <w:numPr>
          <w:ilvl w:val="0"/>
          <w:numId w:val="2"/>
        </w:numPr>
        <w:tabs>
          <w:tab w:val="left" w:pos="1701"/>
          <w:tab w:val="left" w:pos="1985"/>
        </w:tabs>
      </w:pPr>
      <w:r>
        <w:t>Es wird 50 </w:t>
      </w:r>
      <w:proofErr w:type="spellStart"/>
      <w:r>
        <w:t>mL</w:t>
      </w:r>
      <w:proofErr w:type="spellEnd"/>
      <w:r>
        <w:t xml:space="preserve"> einer 0,1 molaren Natronlauge hergestellt.</w:t>
      </w:r>
    </w:p>
    <w:p w:rsidR="00ED3D89" w:rsidRDefault="00ED3D89" w:rsidP="00ED3D89">
      <w:pPr>
        <w:pStyle w:val="Listenabsatz"/>
        <w:numPr>
          <w:ilvl w:val="0"/>
          <w:numId w:val="2"/>
        </w:numPr>
        <w:tabs>
          <w:tab w:val="left" w:pos="1701"/>
          <w:tab w:val="left" w:pos="1985"/>
        </w:tabs>
      </w:pPr>
      <w:r>
        <w:t>20 </w:t>
      </w:r>
      <w:proofErr w:type="spellStart"/>
      <w:r>
        <w:t>mL</w:t>
      </w:r>
      <w:proofErr w:type="spellEnd"/>
      <w:r>
        <w:t xml:space="preserve"> der Salzsäure-Lösung mit unbekannter Konzentration wird in einem 100 </w:t>
      </w:r>
      <w:proofErr w:type="spellStart"/>
      <w:r>
        <w:t>mL</w:t>
      </w:r>
      <w:proofErr w:type="spellEnd"/>
      <w:r>
        <w:t xml:space="preserve"> Becherglas gegeben auf den Magnetrührer gestellt. </w:t>
      </w:r>
    </w:p>
    <w:p w:rsidR="00ED3D89" w:rsidRDefault="00ED3D89" w:rsidP="00ED3D89">
      <w:pPr>
        <w:pStyle w:val="Listenabsatz"/>
        <w:numPr>
          <w:ilvl w:val="0"/>
          <w:numId w:val="2"/>
        </w:numPr>
        <w:tabs>
          <w:tab w:val="left" w:pos="1701"/>
          <w:tab w:val="left" w:pos="1985"/>
        </w:tabs>
      </w:pPr>
      <w:r>
        <w:t>Eine Bürette wird an einem Stativ befestigt und mit der Natronlauge aufgefüllt. In die Sal</w:t>
      </w:r>
      <w:r>
        <w:t>z</w:t>
      </w:r>
      <w:r>
        <w:t xml:space="preserve">säure wird die pH-Elektrode getaucht und mit dem </w:t>
      </w:r>
      <w:proofErr w:type="spellStart"/>
      <w:r>
        <w:t>Cobra</w:t>
      </w:r>
      <w:proofErr w:type="spellEnd"/>
      <w:r>
        <w:t xml:space="preserve"> 4 Wireless-Link verbunden und eingeschaltet.</w:t>
      </w:r>
    </w:p>
    <w:p w:rsidR="00ED3D89" w:rsidRDefault="00ED3D89" w:rsidP="00ED3D89">
      <w:pPr>
        <w:pStyle w:val="Listenabsatz"/>
        <w:numPr>
          <w:ilvl w:val="0"/>
          <w:numId w:val="2"/>
        </w:numPr>
        <w:tabs>
          <w:tab w:val="left" w:pos="1701"/>
          <w:tab w:val="left" w:pos="1985"/>
        </w:tabs>
      </w:pPr>
      <w:r>
        <w:t>Der Wireless-Manager wird über die USB-Buchse des Computers gesteckt und die Auswe</w:t>
      </w:r>
      <w:r>
        <w:t>r</w:t>
      </w:r>
      <w:r>
        <w:t xml:space="preserve">tungssoftware </w:t>
      </w:r>
      <w:proofErr w:type="spellStart"/>
      <w:r w:rsidRPr="00643842">
        <w:rPr>
          <w:i/>
        </w:rPr>
        <w:t>measure</w:t>
      </w:r>
      <w:proofErr w:type="spellEnd"/>
      <w:r>
        <w:t xml:space="preserve"> gestartet. Nachdem das Programm den </w:t>
      </w:r>
      <w:proofErr w:type="spellStart"/>
      <w:r>
        <w:t>Cobra</w:t>
      </w:r>
      <w:proofErr w:type="spellEnd"/>
      <w:r>
        <w:t xml:space="preserve"> 4 Wireless-Link mit der pH-Elektrode erkannt hat, kann die Messung starten. </w:t>
      </w:r>
    </w:p>
    <w:p w:rsidR="00ED3D89" w:rsidRDefault="00ED3D89" w:rsidP="00ED3D89">
      <w:pPr>
        <w:pStyle w:val="Listenabsatz"/>
        <w:numPr>
          <w:ilvl w:val="0"/>
          <w:numId w:val="2"/>
        </w:numPr>
        <w:tabs>
          <w:tab w:val="left" w:pos="1701"/>
          <w:tab w:val="left" w:pos="1985"/>
        </w:tabs>
      </w:pPr>
      <w:r>
        <w:t>Es erfolgt die Titration unter ständigem Rühren. Die Messwerte werden nach jeden zugeg</w:t>
      </w:r>
      <w:r>
        <w:t>e</w:t>
      </w:r>
      <w:r>
        <w:t>benen Milliliter Natronlauge gemessen (d.h. Messwert-Nummer = 1 </w:t>
      </w:r>
      <w:proofErr w:type="spellStart"/>
      <w:r>
        <w:t>mL</w:t>
      </w:r>
      <w:proofErr w:type="spellEnd"/>
      <w:r>
        <w:t>)</w:t>
      </w:r>
    </w:p>
    <w:p w:rsidR="00ED3D89" w:rsidRDefault="00ED3D89" w:rsidP="00ED3D89">
      <w:pPr>
        <w:tabs>
          <w:tab w:val="left" w:pos="1701"/>
          <w:tab w:val="left" w:pos="1985"/>
        </w:tabs>
        <w:ind w:left="1980" w:hanging="1980"/>
      </w:pPr>
    </w:p>
    <w:p w:rsidR="00ED3D89" w:rsidRDefault="00ED3D89" w:rsidP="00ED3D89">
      <w:pPr>
        <w:tabs>
          <w:tab w:val="left" w:pos="1701"/>
          <w:tab w:val="left" w:pos="1985"/>
        </w:tabs>
        <w:ind w:left="1980" w:hanging="1980"/>
        <w:rPr>
          <w:rFonts w:ascii="Arial" w:hAnsi="Arial" w:cs="Arial"/>
        </w:rPr>
      </w:pPr>
      <w:r>
        <w:t xml:space="preserve">Beobachtung: </w:t>
      </w:r>
      <w:r>
        <w:rPr>
          <w:rFonts w:ascii="Arial" w:hAnsi="Arial" w:cs="Arial"/>
        </w:rPr>
        <w:t>_______________________________________________________________</w:t>
      </w:r>
    </w:p>
    <w:p w:rsidR="00ED3D89" w:rsidRDefault="00ED3D89" w:rsidP="00ED3D89">
      <w:pPr>
        <w:tabs>
          <w:tab w:val="left" w:pos="1701"/>
          <w:tab w:val="left" w:pos="1985"/>
        </w:tabs>
        <w:ind w:left="1980" w:hanging="1980"/>
      </w:pPr>
      <w:r>
        <w:rPr>
          <w:rFonts w:ascii="Arial" w:hAnsi="Arial" w:cs="Arial"/>
        </w:rPr>
        <w:t>__________________________________________________________________________</w:t>
      </w:r>
      <w:r>
        <w:t xml:space="preserve"> </w:t>
      </w:r>
    </w:p>
    <w:p w:rsidR="00ED3D89" w:rsidRDefault="00ED3D89" w:rsidP="00ED3D89">
      <w:pPr>
        <w:rPr>
          <w:b/>
        </w:rPr>
      </w:pPr>
    </w:p>
    <w:p w:rsidR="00ED3D89" w:rsidRDefault="00ED3D89" w:rsidP="00ED3D89">
      <w:pPr>
        <w:spacing w:line="240" w:lineRule="auto"/>
      </w:pPr>
      <w:r w:rsidRPr="0049087A">
        <w:rPr>
          <w:b/>
        </w:rPr>
        <w:t>Aufgabe 1</w:t>
      </w:r>
      <w:r>
        <w:t xml:space="preserve"> – Stelle die Reaktionsgleichung der Neutralisationsreaktion dar. Beschreibe den Ve</w:t>
      </w:r>
      <w:r>
        <w:t>r</w:t>
      </w:r>
      <w:r>
        <w:t>lauf der Titrationskurve, benenne charakteristische Punkte des Kurvenverlaufs und trage diese in den Graphen ein.</w:t>
      </w:r>
    </w:p>
    <w:p w:rsidR="00ED3D89" w:rsidRDefault="00ED3D89" w:rsidP="00ED3D89">
      <w:pPr>
        <w:spacing w:line="240" w:lineRule="auto"/>
      </w:pPr>
      <w:r w:rsidRPr="0049087A">
        <w:rPr>
          <w:b/>
        </w:rPr>
        <w:t xml:space="preserve">Aufgabe </w:t>
      </w:r>
      <w:r>
        <w:rPr>
          <w:b/>
        </w:rPr>
        <w:t>2</w:t>
      </w:r>
      <w:r>
        <w:t xml:space="preserve"> – Berechne die Konzentration der unbekannten Salzsäure-Lösung (in </w:t>
      </w:r>
      <w:proofErr w:type="spellStart"/>
      <w:r>
        <w:t>mol</w:t>
      </w:r>
      <w:proofErr w:type="spellEnd"/>
      <w:r>
        <w:t>/L) und vergleiche dein Ergebnis mit den anderen Gruppen.</w:t>
      </w:r>
    </w:p>
    <w:p w:rsidR="00ED3D89" w:rsidRDefault="00ED3D89" w:rsidP="00ED3D89">
      <w:pPr>
        <w:tabs>
          <w:tab w:val="left" w:pos="1418"/>
          <w:tab w:val="left" w:pos="1701"/>
        </w:tabs>
        <w:spacing w:line="240" w:lineRule="auto"/>
        <w:rPr>
          <w:color w:val="auto"/>
        </w:rPr>
      </w:pPr>
      <w:r w:rsidRPr="00643AB3">
        <w:rPr>
          <w:b/>
        </w:rPr>
        <w:t>Aufgabe 3</w:t>
      </w:r>
      <w:r w:rsidRPr="00643AB3">
        <w:t xml:space="preserve"> – Bewerte die Handhabung mit dem </w:t>
      </w:r>
      <w:proofErr w:type="spellStart"/>
      <w:r w:rsidRPr="00643AB3">
        <w:t>Cobra</w:t>
      </w:r>
      <w:proofErr w:type="spellEnd"/>
      <w:r w:rsidRPr="00643AB3">
        <w:t xml:space="preserve"> 4 Wireless-Link sowie das dazugehörige Programm </w:t>
      </w:r>
      <w:proofErr w:type="spellStart"/>
      <w:r w:rsidRPr="00643AB3">
        <w:t>measure</w:t>
      </w:r>
      <w:proofErr w:type="spellEnd"/>
      <w:r w:rsidRPr="00643AB3">
        <w:t xml:space="preserve"> von PHYWE. Erläutere die Probleme, die bei der Titration aufgetreten sind</w:t>
      </w:r>
      <w:r>
        <w:t>, vergleiche diese Arbeitsmethode mit der „manuellen“ Titration</w:t>
      </w:r>
      <w:r w:rsidRPr="00643AB3">
        <w:t xml:space="preserve"> und </w:t>
      </w:r>
      <w:r>
        <w:t xml:space="preserve">diskutiere mögliche </w:t>
      </w:r>
      <w:r w:rsidRPr="00643AB3">
        <w:t>Vor- und Nachtei</w:t>
      </w:r>
      <w:r>
        <w:t>le.</w:t>
      </w:r>
    </w:p>
    <w:p w:rsidR="00ED3D89" w:rsidRPr="001F6D08" w:rsidRDefault="00ED3D89" w:rsidP="00ED3D89">
      <w:pPr>
        <w:tabs>
          <w:tab w:val="left" w:pos="1418"/>
          <w:tab w:val="left" w:pos="1701"/>
        </w:tabs>
        <w:spacing w:line="240" w:lineRule="auto"/>
        <w:rPr>
          <w:color w:val="auto"/>
        </w:rPr>
        <w:sectPr w:rsidR="00ED3D89" w:rsidRPr="001F6D08" w:rsidSect="0049087A">
          <w:headerReference w:type="default" r:id="rId7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ED3D89" w:rsidRPr="00E54798" w:rsidRDefault="00ED3D89" w:rsidP="00ED3D89">
      <w:pPr>
        <w:pStyle w:val="berschrift1"/>
        <w:rPr>
          <w:color w:val="auto"/>
        </w:rPr>
      </w:pPr>
      <w:bookmarkStart w:id="0" w:name="_Toc427044146"/>
      <w:r>
        <w:rPr>
          <w:color w:val="auto"/>
        </w:rPr>
        <w:lastRenderedPageBreak/>
        <w:t>Didaktischer Kommentar zum Schülerarbeitsblatt</w:t>
      </w:r>
      <w:bookmarkEnd w:id="0"/>
    </w:p>
    <w:p w:rsidR="00ED3D89" w:rsidRDefault="00ED3D89" w:rsidP="00ED3D89">
      <w:pPr>
        <w:rPr>
          <w:color w:val="auto"/>
        </w:rPr>
      </w:pPr>
      <w:r>
        <w:rPr>
          <w:color w:val="auto"/>
        </w:rPr>
        <w:t>Das Arbeitsblatt beschäftigt sich mit der Säure-Base-Titration. Es wurde hierbei eine starke Sä</w:t>
      </w:r>
      <w:r>
        <w:rPr>
          <w:color w:val="auto"/>
        </w:rPr>
        <w:t>u</w:t>
      </w:r>
      <w:r>
        <w:rPr>
          <w:color w:val="auto"/>
        </w:rPr>
        <w:t>re und Lauge gewählt um einen einfachen Einstieg in die Thematik zu gewähren (z.B. beim Au</w:t>
      </w:r>
      <w:r>
        <w:rPr>
          <w:color w:val="auto"/>
        </w:rPr>
        <w:t>f</w:t>
      </w:r>
      <w:r>
        <w:rPr>
          <w:color w:val="auto"/>
        </w:rPr>
        <w:t>stellen der Reaktionsgleichung oder der Berechnung der Konzentrationen). Bei Titrationen ist ein exaktes Arbeiten notwendig sowie die Bereitschaft sich mit neuen Medien, wie den Messg</w:t>
      </w:r>
      <w:r>
        <w:rPr>
          <w:color w:val="auto"/>
        </w:rPr>
        <w:t>e</w:t>
      </w:r>
      <w:r>
        <w:rPr>
          <w:color w:val="auto"/>
        </w:rPr>
        <w:t>räten von PHYWE, auseinanderzusetzen. Hier liegt ein weiterer Schwerpunkt des Arbeitsblatts. Dies erfordert auch eine gewisse Einarbeitungszeit, damit jeder Arbeitsschritt reibungslos a</w:t>
      </w:r>
      <w:r>
        <w:rPr>
          <w:color w:val="auto"/>
        </w:rPr>
        <w:t>b</w:t>
      </w:r>
      <w:r>
        <w:rPr>
          <w:color w:val="auto"/>
        </w:rPr>
        <w:t>läuft. Daher ist die Unterrichtsstunde mit diesem Arbeitsblatt erst nach der Behandlung von Säure</w:t>
      </w:r>
      <w:r>
        <w:rPr>
          <w:color w:val="auto"/>
        </w:rPr>
        <w:noBreakHyphen/>
        <w:t>Base</w:t>
      </w:r>
      <w:r>
        <w:rPr>
          <w:color w:val="auto"/>
        </w:rPr>
        <w:noBreakHyphen/>
        <w:t>Reaktionen anzuwenden. Die Schüler_innen sollten bereits über Kenntnisse und Fähigkeiten verfügen, Lösungen bestimmter Konzentrationen eigenständig anzusetzen. Des We</w:t>
      </w:r>
      <w:r>
        <w:rPr>
          <w:color w:val="auto"/>
        </w:rPr>
        <w:t>i</w:t>
      </w:r>
      <w:r>
        <w:rPr>
          <w:color w:val="auto"/>
        </w:rPr>
        <w:t>teren sollte schon vorab eine „manuelle“ Titration ohne die PHYWE-Geräte durchgeführt und eingeübt worden sein. Die Schüler_innen üben dadurch wissenschaftliche Arbeitsmethoden ein, wie beispielsweise das Messen des pH-Werts, die Handhabung und das Ablesen einer Bürette, das Protokollieren der Experimente sowie das Arbeiten mit einem Auswertungsprogramm. Des Weiteren ermitteln die Schüler_innen durch verschiedene Titrationsmethoden die Konzentrat</w:t>
      </w:r>
      <w:r>
        <w:rPr>
          <w:color w:val="auto"/>
        </w:rPr>
        <w:t>i</w:t>
      </w:r>
      <w:r>
        <w:rPr>
          <w:color w:val="auto"/>
        </w:rPr>
        <w:t>on von Säure-Base-Lösungen, beschreiben die Kurvenverläufe der Titration und erklären ch</w:t>
      </w:r>
      <w:r>
        <w:rPr>
          <w:color w:val="auto"/>
        </w:rPr>
        <w:t>a</w:t>
      </w:r>
      <w:r>
        <w:rPr>
          <w:color w:val="auto"/>
        </w:rPr>
        <w:t xml:space="preserve">rakteristische Punkte des Kurvenverlaufs (z.B. Äquivalenzpunkt). </w:t>
      </w:r>
    </w:p>
    <w:p w:rsidR="00ED3D89" w:rsidRDefault="00ED3D89" w:rsidP="00ED3D89">
      <w:pPr>
        <w:rPr>
          <w:color w:val="auto"/>
        </w:rPr>
      </w:pPr>
    </w:p>
    <w:p w:rsidR="00ED3D89" w:rsidRDefault="00ED3D89" w:rsidP="00ED3D89">
      <w:pPr>
        <w:pStyle w:val="berschrift2"/>
        <w:rPr>
          <w:color w:val="auto"/>
        </w:rPr>
      </w:pPr>
      <w:bookmarkStart w:id="1" w:name="_Toc427044147"/>
      <w:r w:rsidRPr="00E54798">
        <w:rPr>
          <w:color w:val="auto"/>
        </w:rPr>
        <w:t>Erwartungshorizont (Kerncurriculum)</w:t>
      </w:r>
      <w:bookmarkEnd w:id="1"/>
    </w:p>
    <w:p w:rsidR="00ED3D89" w:rsidRDefault="00ED3D89" w:rsidP="00ED3D89">
      <w:r>
        <w:t>Die im Kerncurriculum zusammengefassten Kompetenzbereiche werden nachfolgend mit den Aufgaben des Arbeitsblatts verknüpft:</w:t>
      </w:r>
    </w:p>
    <w:p w:rsidR="00ED3D89" w:rsidRDefault="00ED3D89" w:rsidP="00ED3D89">
      <w:pPr>
        <w:autoSpaceDE w:val="0"/>
        <w:autoSpaceDN w:val="0"/>
        <w:adjustRightInd w:val="0"/>
        <w:ind w:left="2829" w:hanging="2829"/>
        <w:rPr>
          <w:rFonts w:cs="Helvetica"/>
          <w:color w:val="auto"/>
          <w:lang w:eastAsia="zh-TW"/>
        </w:rPr>
      </w:pPr>
      <w:r w:rsidRPr="00A76A3E">
        <w:t>Fachwissen:</w:t>
      </w:r>
      <w:r w:rsidRPr="00A76A3E">
        <w:tab/>
        <w:t xml:space="preserve">Die Schüler_innen </w:t>
      </w:r>
      <w:r w:rsidRPr="00A76A3E">
        <w:rPr>
          <w:rFonts w:cs="Helvetica"/>
          <w:color w:val="auto"/>
          <w:lang w:eastAsia="zh-TW"/>
        </w:rPr>
        <w:t>beschreiben</w:t>
      </w:r>
      <w:r>
        <w:rPr>
          <w:rFonts w:cs="Helvetica"/>
          <w:color w:val="auto"/>
          <w:lang w:eastAsia="zh-TW"/>
        </w:rPr>
        <w:t xml:space="preserve"> die Neutralisationsreaktion als eine quantitative Nachweisreaktion und erläutern die </w:t>
      </w:r>
      <w:proofErr w:type="spellStart"/>
      <w:r>
        <w:rPr>
          <w:rFonts w:cs="Helvetica"/>
          <w:color w:val="auto"/>
          <w:lang w:eastAsia="zh-TW"/>
        </w:rPr>
        <w:t>Don</w:t>
      </w:r>
      <w:r>
        <w:rPr>
          <w:rFonts w:cs="Helvetica"/>
          <w:color w:val="auto"/>
          <w:lang w:eastAsia="zh-TW"/>
        </w:rPr>
        <w:t>a</w:t>
      </w:r>
      <w:r>
        <w:rPr>
          <w:rFonts w:cs="Helvetica"/>
          <w:color w:val="auto"/>
          <w:lang w:eastAsia="zh-TW"/>
        </w:rPr>
        <w:t>tor</w:t>
      </w:r>
      <w:proofErr w:type="spellEnd"/>
      <w:r>
        <w:rPr>
          <w:rFonts w:cs="Helvetica"/>
          <w:color w:val="auto"/>
          <w:lang w:eastAsia="zh-TW"/>
        </w:rPr>
        <w:noBreakHyphen/>
        <w:t>Akzeptor</w:t>
      </w:r>
      <w:r>
        <w:rPr>
          <w:rFonts w:cs="Helvetica"/>
          <w:color w:val="auto"/>
          <w:lang w:eastAsia="zh-TW"/>
        </w:rPr>
        <w:noBreakHyphen/>
        <w:t xml:space="preserve">Reaktion als Übertragung von Protonen </w:t>
      </w:r>
      <w:r w:rsidRPr="00A76A3E">
        <w:rPr>
          <w:rFonts w:cs="Helvetica"/>
          <w:color w:val="auto"/>
          <w:lang w:eastAsia="zh-TW"/>
        </w:rPr>
        <w:t>(Aufga</w:t>
      </w:r>
      <w:r>
        <w:rPr>
          <w:rFonts w:cs="Helvetica"/>
          <w:color w:val="auto"/>
          <w:lang w:eastAsia="zh-TW"/>
        </w:rPr>
        <w:t>be 1</w:t>
      </w:r>
      <w:r w:rsidRPr="00A76A3E">
        <w:rPr>
          <w:rFonts w:cs="Helvetica"/>
          <w:color w:val="auto"/>
          <w:lang w:eastAsia="zh-TW"/>
        </w:rPr>
        <w:t>).</w:t>
      </w:r>
    </w:p>
    <w:p w:rsidR="00ED3D89" w:rsidRPr="00A76A3E" w:rsidRDefault="00ED3D89" w:rsidP="00ED3D89">
      <w:pPr>
        <w:autoSpaceDE w:val="0"/>
        <w:autoSpaceDN w:val="0"/>
        <w:adjustRightInd w:val="0"/>
        <w:ind w:left="2829" w:hanging="2829"/>
        <w:rPr>
          <w:rFonts w:cs="Helvetica"/>
          <w:color w:val="auto"/>
          <w:lang w:eastAsia="zh-TW"/>
        </w:rPr>
      </w:pPr>
      <w:r>
        <w:rPr>
          <w:rFonts w:cs="Helvetica"/>
          <w:color w:val="auto"/>
          <w:lang w:eastAsia="zh-TW"/>
        </w:rPr>
        <w:t>Erkenntnisgewinnung:</w:t>
      </w:r>
      <w:r>
        <w:rPr>
          <w:rFonts w:cs="Helvetica"/>
          <w:color w:val="auto"/>
          <w:lang w:eastAsia="zh-TW"/>
        </w:rPr>
        <w:tab/>
        <w:t>Die Schüler_innen werten quantitative Daten aus und vergleiche diese (Aufgabe 2).</w:t>
      </w:r>
    </w:p>
    <w:p w:rsidR="00ED3D89" w:rsidRPr="00A76A3E" w:rsidRDefault="00ED3D89" w:rsidP="00ED3D89">
      <w:pPr>
        <w:autoSpaceDE w:val="0"/>
        <w:autoSpaceDN w:val="0"/>
        <w:adjustRightInd w:val="0"/>
        <w:ind w:left="2829" w:hanging="2829"/>
        <w:rPr>
          <w:rFonts w:cs="Helvetica"/>
          <w:color w:val="auto"/>
          <w:lang w:eastAsia="zh-TW"/>
        </w:rPr>
      </w:pPr>
      <w:r w:rsidRPr="00A76A3E">
        <w:t xml:space="preserve">Bewerten: </w:t>
      </w:r>
      <w:r w:rsidRPr="00A76A3E">
        <w:tab/>
        <w:t xml:space="preserve">Die Schüler_innen </w:t>
      </w:r>
      <w:r>
        <w:rPr>
          <w:rFonts w:cs="Helvetica"/>
          <w:color w:val="auto"/>
          <w:lang w:eastAsia="zh-TW"/>
        </w:rPr>
        <w:t>bewerten den Nutzen neuer Medien und disk</w:t>
      </w:r>
      <w:r>
        <w:rPr>
          <w:rFonts w:cs="Helvetica"/>
          <w:color w:val="auto"/>
          <w:lang w:eastAsia="zh-TW"/>
        </w:rPr>
        <w:t>u</w:t>
      </w:r>
      <w:r>
        <w:rPr>
          <w:rFonts w:cs="Helvetica"/>
          <w:color w:val="auto"/>
          <w:lang w:eastAsia="zh-TW"/>
        </w:rPr>
        <w:t xml:space="preserve">tieren über dessen Vor- und Nachteile </w:t>
      </w:r>
      <w:r w:rsidRPr="00A76A3E">
        <w:rPr>
          <w:rFonts w:cs="Helvetica"/>
          <w:color w:val="auto"/>
          <w:lang w:eastAsia="zh-TW"/>
        </w:rPr>
        <w:t>(</w:t>
      </w:r>
      <w:r w:rsidRPr="00A76A3E">
        <w:t>Aufgabe 3).</w:t>
      </w:r>
    </w:p>
    <w:p w:rsidR="00ED3D89" w:rsidRPr="00A76A3E" w:rsidRDefault="00ED3D89" w:rsidP="00ED3D89">
      <w:pPr>
        <w:tabs>
          <w:tab w:val="left" w:pos="3840"/>
        </w:tabs>
      </w:pPr>
      <w:r>
        <w:tab/>
      </w:r>
    </w:p>
    <w:p w:rsidR="00ED3D89" w:rsidRDefault="00ED3D89" w:rsidP="00ED3D89">
      <w:r>
        <w:lastRenderedPageBreak/>
        <w:t xml:space="preserve">Zunächst sollen die </w:t>
      </w:r>
      <w:r w:rsidRPr="00A76A3E">
        <w:t>Schüler_innen</w:t>
      </w:r>
      <w:r>
        <w:t xml:space="preserve"> in Aufgabe 1 Neutralisationsreaktionen definieren sowie den Verlauf einer Titrationskurve beschreiben. Dabei greifen sie auf</w:t>
      </w:r>
      <w:r w:rsidRPr="00A76A3E">
        <w:t xml:space="preserve"> ihr </w:t>
      </w:r>
      <w:r>
        <w:t xml:space="preserve">erlerntes </w:t>
      </w:r>
      <w:r w:rsidRPr="00A76A3E">
        <w:t>Wissen</w:t>
      </w:r>
      <w:r>
        <w:t xml:space="preserve"> der vorh</w:t>
      </w:r>
      <w:r>
        <w:t>e</w:t>
      </w:r>
      <w:r>
        <w:t xml:space="preserve">rigen Unterrichtsstunden zurück, da dort alle verlangten Aspekte bereits besprochen wurden </w:t>
      </w:r>
      <w:r w:rsidRPr="00A76A3E">
        <w:t xml:space="preserve">(Anforderungsbereich I). </w:t>
      </w:r>
      <w:r>
        <w:t xml:space="preserve">In Aufgabe 2 berechnen die Schüler_innen mithilfe der Ergebnisse die Konzentration der Salzsäure </w:t>
      </w:r>
      <w:r w:rsidRPr="00A76A3E">
        <w:t>(Anforderungsbereich II).</w:t>
      </w:r>
      <w:r>
        <w:t xml:space="preserve"> Der Umgang mit den PHYWE-Geräten</w:t>
      </w:r>
      <w:r w:rsidRPr="00A76A3E">
        <w:t xml:space="preserve"> </w:t>
      </w:r>
      <w:r>
        <w:t xml:space="preserve">wird in Aufgabe 3 bewertet </w:t>
      </w:r>
      <w:r w:rsidRPr="00A76A3E">
        <w:t>(Anforderungsbereich III).</w:t>
      </w:r>
    </w:p>
    <w:p w:rsidR="00ED3D89" w:rsidRDefault="00ED3D89" w:rsidP="00ED3D89"/>
    <w:p w:rsidR="00ED3D89" w:rsidRPr="00E54798" w:rsidRDefault="00ED3D89" w:rsidP="00ED3D89">
      <w:pPr>
        <w:pStyle w:val="berschrift2"/>
        <w:rPr>
          <w:color w:val="auto"/>
        </w:rPr>
      </w:pPr>
      <w:bookmarkStart w:id="2" w:name="_Toc427044148"/>
      <w:r w:rsidRPr="00E54798">
        <w:rPr>
          <w:color w:val="auto"/>
        </w:rPr>
        <w:t>Erwartungshorizont (Inhaltlich)</w:t>
      </w:r>
      <w:bookmarkEnd w:id="2"/>
    </w:p>
    <w:p w:rsidR="00ED3D89" w:rsidRDefault="00ED3D89" w:rsidP="00ED3D89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Aufgabe 1:</w:t>
      </w:r>
    </w:p>
    <w:p w:rsidR="00ED3D89" w:rsidRDefault="00ED3D89" w:rsidP="00ED3D89">
      <w:pPr>
        <w:tabs>
          <w:tab w:val="left" w:pos="1701"/>
          <w:tab w:val="left" w:pos="1985"/>
        </w:tabs>
        <w:ind w:left="2124" w:hanging="2124"/>
      </w:pPr>
      <w:r>
        <w:t>Es findet folgende Neutralisationsreaktion statt:</w:t>
      </w:r>
    </w:p>
    <w:p w:rsidR="00ED3D89" w:rsidRPr="006D5993" w:rsidRDefault="00ED3D89" w:rsidP="00ED3D89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6D5993">
        <w:tab/>
      </w:r>
      <w:r w:rsidRPr="006D5993">
        <w:tab/>
      </w:r>
      <w:r w:rsidRPr="006D5993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(l)</m:t>
            </m:r>
          </m:sub>
        </m:sSub>
      </m:oMath>
    </w:p>
    <w:p w:rsidR="00ED3D89" w:rsidRDefault="00ED3D89" w:rsidP="00ED3D89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Die Protonen der Säure (</w:t>
      </w:r>
      <w:proofErr w:type="spellStart"/>
      <w:r>
        <w:rPr>
          <w:rFonts w:asciiTheme="majorHAnsi" w:hAnsiTheme="majorHAnsi"/>
          <w:color w:val="auto"/>
        </w:rPr>
        <w:t>Protonendonator</w:t>
      </w:r>
      <w:proofErr w:type="spellEnd"/>
      <w:r>
        <w:rPr>
          <w:rFonts w:asciiTheme="majorHAnsi" w:hAnsiTheme="majorHAnsi"/>
          <w:color w:val="auto"/>
        </w:rPr>
        <w:t xml:space="preserve">) werden auf die Base übertragen und fungiert dabei als Protonenakzeptor. Es kommt zu einer Neutralisation bei der Wasser entsteht. </w:t>
      </w:r>
    </w:p>
    <w:p w:rsidR="00ED3D89" w:rsidRDefault="00ED3D89" w:rsidP="00ED3D89">
      <w:r>
        <w:t>Anfangs liegt der pH-Wert im sauren Bereich (pH 1,2) und steigt nur sehr langsam an. Zwischen pH 5 – 6 steigt der Messwert sehr schnell an bis auf pH 10,3 und flacht dann ab. Am Äquivalen</w:t>
      </w:r>
      <w:r>
        <w:t>z</w:t>
      </w:r>
      <w:r>
        <w:t>punkt entspricht die Stoffmenge des eingesetzten Titers der Stoffmenge der Probelösung wä</w:t>
      </w:r>
      <w:r>
        <w:t>h</w:t>
      </w:r>
      <w:r>
        <w:t xml:space="preserve">rend der Neutralisationspunkt immer bei pH 7 liegt. </w:t>
      </w:r>
    </w:p>
    <w:p w:rsidR="00ED3D89" w:rsidRDefault="00ED3D89" w:rsidP="00ED3D89"/>
    <w:p w:rsidR="00ED3D89" w:rsidRDefault="00ED3D89" w:rsidP="00ED3D89">
      <w:r>
        <w:t>Aufgabe 2:</w:t>
      </w:r>
    </w:p>
    <w:p w:rsidR="00ED3D89" w:rsidRDefault="00ED3D89" w:rsidP="00ED3D89">
      <w:pPr>
        <w:tabs>
          <w:tab w:val="left" w:pos="1701"/>
          <w:tab w:val="left" w:pos="1985"/>
        </w:tabs>
        <w:rPr>
          <w:rFonts w:eastAsiaTheme="minorEastAsia"/>
        </w:rPr>
      </w:pPr>
      <w:r>
        <w:rPr>
          <w:rFonts w:eastAsiaTheme="minorEastAsia"/>
        </w:rPr>
        <w:t xml:space="preserve">Am Äquivalenzpunkt kann über die bekannte Menge an Hydroxid-Ionen die Menge an </w:t>
      </w:r>
      <w:proofErr w:type="spellStart"/>
      <w:r>
        <w:rPr>
          <w:rFonts w:eastAsiaTheme="minorEastAsia"/>
        </w:rPr>
        <w:t>Hydron</w:t>
      </w:r>
      <w:r>
        <w:rPr>
          <w:rFonts w:eastAsiaTheme="minorEastAsia"/>
        </w:rPr>
        <w:t>i</w:t>
      </w:r>
      <w:r>
        <w:rPr>
          <w:rFonts w:eastAsiaTheme="minorEastAsia"/>
        </w:rPr>
        <w:t>um</w:t>
      </w:r>
      <w:proofErr w:type="spellEnd"/>
      <w:r>
        <w:rPr>
          <w:rFonts w:eastAsiaTheme="minorEastAsia"/>
        </w:rPr>
        <w:t>-Ionen und somit die Konzentration der Salzsäure ermittelt werden. Es wurden bis zum Äquivalenzpunkt 44,3 </w:t>
      </w:r>
      <w:proofErr w:type="spellStart"/>
      <w:r>
        <w:rPr>
          <w:rFonts w:eastAsiaTheme="minorEastAsia"/>
        </w:rPr>
        <w:t>mL</w:t>
      </w:r>
      <w:proofErr w:type="spellEnd"/>
      <w:r>
        <w:rPr>
          <w:rFonts w:eastAsiaTheme="minorEastAsia"/>
        </w:rPr>
        <w:t xml:space="preserve"> Natriumhydroxid zugegeben.</w:t>
      </w:r>
    </w:p>
    <w:p w:rsidR="00ED3D89" w:rsidRPr="00DD2197" w:rsidRDefault="00ED3D89" w:rsidP="00ED3D89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DD2197">
        <w:rPr>
          <w:rFonts w:eastAsiaTheme="minorEastAsia"/>
        </w:rPr>
        <w:tab/>
      </w:r>
      <w:r w:rsidRPr="00DD2197">
        <w:rPr>
          <w:rFonts w:eastAsiaTheme="minorEastAsia"/>
        </w:rPr>
        <w:tab/>
      </w:r>
      <w:r w:rsidRPr="00DD2197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HCl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c(NaOH)∙V(NaOH)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V(HCl)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0,1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mol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∙44,3 mL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 mL</m:t>
            </m:r>
          </m:den>
        </m:f>
        <m:r>
          <m:rPr>
            <m:sty m:val="p"/>
          </m:rPr>
          <w:rPr>
            <w:rFonts w:ascii="Cambria Math" w:hAnsi="Cambria Math"/>
          </w:rPr>
          <m:t>=0,22 mol/L</m:t>
        </m:r>
      </m:oMath>
    </w:p>
    <w:p w:rsidR="00ED3D89" w:rsidRDefault="00ED3D89" w:rsidP="00ED3D89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Aufgabe 3:</w:t>
      </w:r>
    </w:p>
    <w:p w:rsidR="00ED3D89" w:rsidRPr="00E54798" w:rsidRDefault="00ED3D89" w:rsidP="00ED3D89">
      <w:pPr>
        <w:rPr>
          <w:rFonts w:asciiTheme="majorHAnsi" w:hAnsiTheme="majorHAnsi"/>
          <w:color w:val="auto"/>
        </w:rPr>
      </w:pPr>
      <w:r>
        <w:rPr>
          <w:color w:val="auto"/>
        </w:rPr>
        <w:t xml:space="preserve">Das Software-Programm </w:t>
      </w:r>
      <w:proofErr w:type="spellStart"/>
      <w:r>
        <w:rPr>
          <w:color w:val="auto"/>
        </w:rPr>
        <w:t>measure</w:t>
      </w:r>
      <w:proofErr w:type="spellEnd"/>
      <w:r>
        <w:rPr>
          <w:color w:val="auto"/>
        </w:rPr>
        <w:t xml:space="preserve"> kann lediglich den pH-Wert gegen die Zeit automatisch auftragen, die zur weiteren Auswertung nicht unbedingt nützlich sind. Besser wäre hier eine Au</w:t>
      </w:r>
      <w:r>
        <w:rPr>
          <w:color w:val="auto"/>
        </w:rPr>
        <w:t>f</w:t>
      </w:r>
      <w:r>
        <w:rPr>
          <w:color w:val="auto"/>
        </w:rPr>
        <w:t>tragung des pH-Wertes in Abhängigkeit des Volumens an zugegebener Natronlauge. Dafür ist jedoch ein Tropfenzähler o.ä. nötig. Es kann jedoch auch auf manuelle Eingabe der Messung u</w:t>
      </w:r>
      <w:r>
        <w:rPr>
          <w:color w:val="auto"/>
        </w:rPr>
        <w:t>m</w:t>
      </w:r>
      <w:r>
        <w:rPr>
          <w:color w:val="auto"/>
        </w:rPr>
        <w:t xml:space="preserve">schaltet werden. Dabei wird die Messwert-Nummer statt der Zeit aufgetragen. Beim Ablesen </w:t>
      </w:r>
      <w:r>
        <w:rPr>
          <w:color w:val="auto"/>
        </w:rPr>
        <w:lastRenderedPageBreak/>
        <w:t>in 1 </w:t>
      </w:r>
      <w:proofErr w:type="spellStart"/>
      <w:r>
        <w:rPr>
          <w:color w:val="auto"/>
        </w:rPr>
        <w:t>mL</w:t>
      </w:r>
      <w:proofErr w:type="spellEnd"/>
      <w:r>
        <w:rPr>
          <w:color w:val="auto"/>
        </w:rPr>
        <w:t xml:space="preserve"> Abständen entspricht die Messwert-Nummer dem Volumen von 1 </w:t>
      </w:r>
      <w:proofErr w:type="spellStart"/>
      <w:r>
        <w:rPr>
          <w:color w:val="auto"/>
        </w:rPr>
        <w:t>mL</w:t>
      </w:r>
      <w:proofErr w:type="spellEnd"/>
      <w:r>
        <w:rPr>
          <w:color w:val="auto"/>
        </w:rPr>
        <w:t>. Hier ist also dri</w:t>
      </w:r>
      <w:r>
        <w:rPr>
          <w:color w:val="auto"/>
        </w:rPr>
        <w:t>n</w:t>
      </w:r>
      <w:r>
        <w:rPr>
          <w:color w:val="auto"/>
        </w:rPr>
        <w:t>gend ein Optimierungsbedarf an den PHYWE-Geräten erkennbar.</w:t>
      </w:r>
    </w:p>
    <w:p w:rsidR="00555660" w:rsidRDefault="00ED3D89">
      <w:bookmarkStart w:id="3" w:name="_GoBack"/>
      <w:bookmarkEnd w:id="3"/>
    </w:p>
    <w:sectPr w:rsidR="00555660" w:rsidSect="00A0582F">
      <w:headerReference w:type="default" r:id="rId8"/>
      <w:pgSz w:w="11906" w:h="16838"/>
      <w:pgMar w:top="1417" w:right="1417" w:bottom="709" w:left="1417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32404297"/>
      <w:docPartObj>
        <w:docPartGallery w:val="Page Numbers (Top of Page)"/>
        <w:docPartUnique/>
      </w:docPartObj>
    </w:sdtPr>
    <w:sdtEndPr/>
    <w:sdtContent>
      <w:p w:rsidR="009B6002" w:rsidRPr="00337B69" w:rsidRDefault="00ED3D89" w:rsidP="00337B69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27211388"/>
      <w:docPartObj>
        <w:docPartGallery w:val="Page Numbers (Top of Page)"/>
        <w:docPartUnique/>
      </w:docPartObj>
    </w:sdtPr>
    <w:sdtEndPr/>
    <w:sdtContent>
      <w:p w:rsidR="009B6002" w:rsidRPr="0080101C" w:rsidRDefault="00ED3D89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r>
          <w:fldChar w:fldCharType="begin"/>
        </w:r>
        <w:r>
          <w:instrText xml:space="preserve"> STYLEREF  "Überschrift 1" \n  \* MERGEFORMAT </w:instrText>
        </w:r>
        <w:r>
          <w:fldChar w:fldCharType="separate"/>
        </w:r>
        <w:r w:rsidRPr="00ED3D89">
          <w:rPr>
            <w:b/>
            <w:bCs/>
            <w:noProof/>
            <w:sz w:val="20"/>
          </w:rPr>
          <w:t>1</w:t>
        </w:r>
        <w:r>
          <w:rPr>
            <w:b/>
            <w:bCs/>
            <w:noProof/>
            <w:sz w:val="20"/>
          </w:rPr>
          <w:fldChar w:fldCharType="end"/>
        </w:r>
        <w:r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r>
          <w:fldChar w:fldCharType="begin"/>
        </w:r>
        <w:r>
          <w:instrText xml:space="preserve"> STYLEREF  "Überschrift 1"  \* MERGEFORMAT </w:instrText>
        </w:r>
        <w:r>
          <w:fldChar w:fldCharType="separate"/>
        </w:r>
        <w:r>
          <w:rPr>
            <w:noProof/>
          </w:rPr>
          <w:t>Didaktischer Kommentar zum Schülerarbeitsblatt</w:t>
        </w:r>
        <w:r>
          <w:rPr>
            <w:noProof/>
          </w:rPr>
          <w:fldChar w:fldCharType="end"/>
        </w: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9B6002" w:rsidRPr="0080101C" w:rsidRDefault="00ED3D89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81BDE" wp14:editId="6311EDA3">
              <wp:simplePos x="0" y="0"/>
              <wp:positionH relativeFrom="column">
                <wp:posOffset>-42545</wp:posOffset>
              </wp:positionH>
              <wp:positionV relativeFrom="paragraph">
                <wp:posOffset>38735</wp:posOffset>
              </wp:positionV>
              <wp:extent cx="5867400" cy="635"/>
              <wp:effectExtent l="5080" t="10160" r="13970" b="825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.35pt;margin-top:3.05pt;width:462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D5D7498"/>
    <w:multiLevelType w:val="hybridMultilevel"/>
    <w:tmpl w:val="558654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89"/>
    <w:rsid w:val="001B7B06"/>
    <w:rsid w:val="00531888"/>
    <w:rsid w:val="00663385"/>
    <w:rsid w:val="00691927"/>
    <w:rsid w:val="00ED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3D89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3D89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3D8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D3D89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3D8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3D8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3D8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3D8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3D8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3D8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3D89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3D89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3D89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3D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3D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3D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3D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3D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3D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ED3D89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ED3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3D89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3D89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3D89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3D89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3D8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D3D89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3D8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3D8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3D8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3D8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3D8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3D8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3D89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3D89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3D89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3D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3D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3D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3D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3D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3D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ED3D89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ED3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3D89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3D89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5165</Characters>
  <Application>Microsoft Office Word</Application>
  <DocSecurity>0</DocSecurity>
  <Lines>43</Lines>
  <Paragraphs>11</Paragraphs>
  <ScaleCrop>false</ScaleCrop>
  <Company>Office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</dc:creator>
  <cp:keywords/>
  <dc:description/>
  <cp:lastModifiedBy>Jans</cp:lastModifiedBy>
  <cp:revision>1</cp:revision>
  <dcterms:created xsi:type="dcterms:W3CDTF">2015-08-27T15:29:00Z</dcterms:created>
  <dcterms:modified xsi:type="dcterms:W3CDTF">2015-08-27T15:30:00Z</dcterms:modified>
</cp:coreProperties>
</file>