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7665" w14:textId="77777777"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14:paraId="51ACFAAD" w14:textId="476300CA" w:rsidR="00954DC8" w:rsidRDefault="00071E5A" w:rsidP="00F31EBF">
      <w:pPr>
        <w:spacing w:line="276" w:lineRule="auto"/>
      </w:pPr>
      <w:r>
        <w:t>Jans Manjali</w:t>
      </w:r>
    </w:p>
    <w:p w14:paraId="74198D98" w14:textId="49DD0AAE" w:rsidR="00954DC8" w:rsidRDefault="00071E5A" w:rsidP="00F31EBF">
      <w:pPr>
        <w:spacing w:line="276" w:lineRule="auto"/>
      </w:pPr>
      <w:r>
        <w:t>Sommersemester 2015</w:t>
      </w:r>
    </w:p>
    <w:p w14:paraId="1359FCC1" w14:textId="008205AB" w:rsidR="00954DC8" w:rsidRDefault="00954DC8" w:rsidP="00F31EBF">
      <w:pPr>
        <w:spacing w:line="276" w:lineRule="auto"/>
      </w:pPr>
      <w:r>
        <w:t xml:space="preserve">Klassenstufen </w:t>
      </w:r>
      <w:r w:rsidR="00071E5A">
        <w:t>9 &amp; 10</w:t>
      </w:r>
    </w:p>
    <w:p w14:paraId="7E422764" w14:textId="31D6F58B" w:rsidR="00954DC8" w:rsidRDefault="00116746" w:rsidP="00954DC8">
      <w:r>
        <w:rPr>
          <w:noProof/>
          <w:lang w:eastAsia="de-DE"/>
        </w:rPr>
        <w:drawing>
          <wp:anchor distT="0" distB="0" distL="114300" distR="114300" simplePos="0" relativeHeight="251797504" behindDoc="1" locked="0" layoutInCell="1" allowOverlap="1" wp14:anchorId="5B6B138E" wp14:editId="18C3DBDD">
            <wp:simplePos x="0" y="0"/>
            <wp:positionH relativeFrom="column">
              <wp:posOffset>80645</wp:posOffset>
            </wp:positionH>
            <wp:positionV relativeFrom="paragraph">
              <wp:posOffset>262890</wp:posOffset>
            </wp:positionV>
            <wp:extent cx="2295525" cy="2746375"/>
            <wp:effectExtent l="0" t="0" r="9525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95525" cy="274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DC8">
        <w:tab/>
      </w:r>
    </w:p>
    <w:p w14:paraId="4AEE18C5" w14:textId="42B49D76" w:rsidR="008B7FD6" w:rsidRDefault="008B7FD6" w:rsidP="00954DC8"/>
    <w:p w14:paraId="2B3917B5" w14:textId="434FCBB4" w:rsidR="008B7FD6" w:rsidRDefault="008B7FD6" w:rsidP="00954DC8"/>
    <w:p w14:paraId="083D1261" w14:textId="616472F2" w:rsidR="00116746" w:rsidRDefault="00116746" w:rsidP="00954DC8"/>
    <w:p w14:paraId="29F6B615" w14:textId="74FD204E" w:rsidR="00116746" w:rsidRDefault="00116746" w:rsidP="00954DC8"/>
    <w:p w14:paraId="78B408DC" w14:textId="10767FDF" w:rsidR="00116746" w:rsidRDefault="00116746" w:rsidP="00954DC8"/>
    <w:p w14:paraId="2DC4D9D5" w14:textId="77777777" w:rsidR="00116746" w:rsidRDefault="00116746" w:rsidP="00954DC8"/>
    <w:p w14:paraId="73E5883B" w14:textId="2DCD4E97" w:rsidR="00116746" w:rsidRDefault="00116746" w:rsidP="00954DC8">
      <w:r>
        <w:rPr>
          <w:noProof/>
          <w:lang w:eastAsia="de-DE"/>
        </w:rPr>
        <w:drawing>
          <wp:anchor distT="0" distB="0" distL="114300" distR="114300" simplePos="0" relativeHeight="251798528" behindDoc="1" locked="0" layoutInCell="1" allowOverlap="1" wp14:anchorId="19D10F34" wp14:editId="384CD33E">
            <wp:simplePos x="0" y="0"/>
            <wp:positionH relativeFrom="column">
              <wp:posOffset>1788795</wp:posOffset>
            </wp:positionH>
            <wp:positionV relativeFrom="paragraph">
              <wp:posOffset>177165</wp:posOffset>
            </wp:positionV>
            <wp:extent cx="3720465" cy="2790190"/>
            <wp:effectExtent l="0" t="0" r="0" b="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6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D1917" w14:textId="77777777" w:rsidR="00116746" w:rsidRDefault="00116746" w:rsidP="008B7FD6">
      <w:pPr>
        <w:rPr>
          <w:rFonts w:ascii="Times New Roman" w:hAnsi="Times New Roman" w:cs="Times New Roman"/>
          <w:sz w:val="52"/>
          <w:szCs w:val="24"/>
        </w:rPr>
      </w:pPr>
    </w:p>
    <w:p w14:paraId="7A286B62" w14:textId="77777777" w:rsidR="00116746" w:rsidRDefault="00116746" w:rsidP="008B7FD6">
      <w:pPr>
        <w:rPr>
          <w:rFonts w:ascii="Times New Roman" w:hAnsi="Times New Roman" w:cs="Times New Roman"/>
          <w:sz w:val="52"/>
          <w:szCs w:val="24"/>
        </w:rPr>
      </w:pPr>
    </w:p>
    <w:p w14:paraId="7BAC7B3F" w14:textId="77777777" w:rsidR="00116746" w:rsidRDefault="00116746" w:rsidP="008B7FD6">
      <w:pPr>
        <w:rPr>
          <w:rFonts w:ascii="Times New Roman" w:hAnsi="Times New Roman" w:cs="Times New Roman"/>
          <w:sz w:val="52"/>
          <w:szCs w:val="24"/>
        </w:rPr>
      </w:pPr>
      <w:bookmarkStart w:id="0" w:name="_GoBack"/>
      <w:bookmarkEnd w:id="0"/>
    </w:p>
    <w:p w14:paraId="23010844" w14:textId="77777777" w:rsidR="00116746" w:rsidRDefault="00116746" w:rsidP="008B7FD6">
      <w:pPr>
        <w:rPr>
          <w:rFonts w:ascii="Times New Roman" w:hAnsi="Times New Roman" w:cs="Times New Roman"/>
          <w:sz w:val="52"/>
          <w:szCs w:val="24"/>
        </w:rPr>
      </w:pPr>
    </w:p>
    <w:p w14:paraId="484F41F0" w14:textId="251D3ACC" w:rsidR="008B7FD6" w:rsidRDefault="00264BAF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1F7AAD" wp14:editId="40B03F4B">
                <wp:simplePos x="0" y="0"/>
                <wp:positionH relativeFrom="column">
                  <wp:posOffset>24130</wp:posOffset>
                </wp:positionH>
                <wp:positionV relativeFrom="paragraph">
                  <wp:posOffset>560705</wp:posOffset>
                </wp:positionV>
                <wp:extent cx="5695950" cy="0"/>
                <wp:effectExtent l="5080" t="8255" r="13970" b="10795"/>
                <wp:wrapNone/>
                <wp:docPr id="9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1.9pt;margin-top:44.15pt;width:448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"/>
            </w:pict>
          </mc:Fallback>
        </mc:AlternateContent>
      </w:r>
    </w:p>
    <w:p w14:paraId="23A15D18" w14:textId="438811B0" w:rsidR="0006684E" w:rsidRPr="00984EF9" w:rsidRDefault="00071E5A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Titration</w:t>
      </w:r>
    </w:p>
    <w:p w14:paraId="145BC997" w14:textId="3BB63976" w:rsidR="00984EF9" w:rsidRPr="00984EF9" w:rsidRDefault="00264BAF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B21FF5" wp14:editId="6430B5AA">
                <wp:simplePos x="0" y="0"/>
                <wp:positionH relativeFrom="column">
                  <wp:posOffset>147955</wp:posOffset>
                </wp:positionH>
                <wp:positionV relativeFrom="paragraph">
                  <wp:posOffset>441960</wp:posOffset>
                </wp:positionV>
                <wp:extent cx="5419725" cy="0"/>
                <wp:effectExtent l="5080" t="13335" r="13970" b="5715"/>
                <wp:wrapNone/>
                <wp:docPr id="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11.65pt;margin-top:34.8pt;width:426.7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deHgIAAD0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"/>
            </w:pict>
          </mc:Fallback>
        </mc:AlternateConten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14:paraId="40B00BEA" w14:textId="68FF3D79" w:rsidR="00A90BD6" w:rsidRDefault="00264BAF">
      <w:pPr>
        <w:pStyle w:val="Inhaltsverzeichnisberschrift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80BD10" wp14:editId="32D600E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8840" cy="1571625"/>
                <wp:effectExtent l="0" t="0" r="22860" b="28575"/>
                <wp:wrapNone/>
                <wp:docPr id="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571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42AE4" w14:textId="77777777" w:rsidR="006A0F35" w:rsidRDefault="006A0F3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</w:rPr>
                            </w:pPr>
                            <w:r w:rsidRPr="00A90BD6">
                              <w:rPr>
                                <w:b/>
                              </w:rPr>
                              <w:t>Auf einen Blick:</w:t>
                            </w:r>
                          </w:p>
                          <w:p w14:paraId="534E28FF" w14:textId="45D5DBA2" w:rsidR="006A0F35" w:rsidRPr="00F31EBF" w:rsidRDefault="00116746" w:rsidP="004944F3">
                            <w:pPr>
                              <w:rPr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Die hier vorgestellte</w:t>
                            </w:r>
                            <w:r w:rsidR="004944F3" w:rsidRPr="00F31EBF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Argentometrie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ist eine Fällungstitration, bei der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Silberionen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mit den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Hal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o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genidionen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als Niederschlag mit stöchiometrischer Zusammensetzung ausfallen. Des Weiteren wird in einem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Schüler_innenversuch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gezeigt wie der Säuregehalt von Alltagschemikalien (Gu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kenessig, Zitronensaft) durch Titration bestimmt werden kann.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0;margin-top:0;width:469.2pt;height:123.75pt;z-index:251782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" fillcolor="white [3201]" strokecolor="#9bbb59 [3206]" strokeweight="1pt">
                <v:stroke dashstyle="dash"/>
                <v:shadow color="#868686"/>
                <v:textbox>
                  <w:txbxContent>
                    <w:p w14:paraId="33E42AE4" w14:textId="77777777" w:rsidR="006A0F35" w:rsidRDefault="006A0F35">
                      <w:pPr>
                        <w:pBdr>
                          <w:bottom w:val="single" w:sz="6" w:space="1" w:color="auto"/>
                        </w:pBdr>
                        <w:rPr>
                          <w:b/>
                        </w:rPr>
                      </w:pPr>
                      <w:r w:rsidRPr="00A90BD6">
                        <w:rPr>
                          <w:b/>
                        </w:rPr>
                        <w:t>Auf einen Blick:</w:t>
                      </w:r>
                    </w:p>
                    <w:p w14:paraId="534E28FF" w14:textId="45D5DBA2" w:rsidR="006A0F35" w:rsidRPr="00F31EBF" w:rsidRDefault="00116746" w:rsidP="004944F3">
                      <w:pPr>
                        <w:rPr>
                          <w:i/>
                          <w:color w:val="auto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>Die hier vorgestellte</w:t>
                      </w:r>
                      <w:r w:rsidR="004944F3" w:rsidRPr="00F31EBF">
                        <w:rPr>
                          <w:rFonts w:asciiTheme="majorHAnsi" w:hAnsiTheme="majorHAnsi"/>
                          <w:color w:val="aut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auto"/>
                        </w:rPr>
                        <w:t>Argentometrie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 ist eine Fällungstitration, bei der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auto"/>
                        </w:rPr>
                        <w:t>Silberionen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 mit den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auto"/>
                        </w:rPr>
                        <w:t>Hal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>o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>genidionen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 als Niederschlag mit stöchiometrischer Zusammensetzung ausfallen. Des Weiteren wird in einem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auto"/>
                        </w:rPr>
                        <w:t>Schüler_innenversuch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 gezeigt wie der Säuregehalt von Alltagschemikalien (Gu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>r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>kenessig, Zitronensaft) durch Titration bestimmt werden kann.</w:t>
                      </w:r>
                    </w:p>
                  </w:txbxContent>
                </v:textbox>
              </v:shape>
            </w:pict>
          </mc:Fallback>
        </mc:AlternateContent>
      </w:r>
    </w:p>
    <w:p w14:paraId="3CC5DD7C" w14:textId="77777777" w:rsidR="00A90BD6" w:rsidRDefault="00A90BD6" w:rsidP="00A90BD6"/>
    <w:p w14:paraId="0DCEB0D9" w14:textId="77777777" w:rsidR="00A90BD6" w:rsidRDefault="00A90BD6" w:rsidP="00A90BD6"/>
    <w:p w14:paraId="4D631D4B" w14:textId="77777777" w:rsidR="00A90BD6" w:rsidRDefault="00A90BD6" w:rsidP="00A90BD6"/>
    <w:p w14:paraId="6E67A361" w14:textId="77777777" w:rsidR="00A90BD6" w:rsidRDefault="00A90BD6" w:rsidP="00A90BD6"/>
    <w:p w14:paraId="18F3B7FA" w14:textId="77777777"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/>
      <w:sdtContent>
        <w:p w14:paraId="58E5AF7C" w14:textId="77777777"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14:paraId="7E8A14B0" w14:textId="77777777" w:rsidR="00E26180" w:rsidRPr="00E26180" w:rsidRDefault="00E26180" w:rsidP="00E26180"/>
        <w:p w14:paraId="65FB2AA6" w14:textId="77777777" w:rsidR="00116746" w:rsidRDefault="00E2618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7054869" w:history="1">
            <w:r w:rsidR="00116746" w:rsidRPr="006B065C">
              <w:rPr>
                <w:rStyle w:val="Hyperlink"/>
                <w:noProof/>
              </w:rPr>
              <w:t>1</w:t>
            </w:r>
            <w:r w:rsidR="00116746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116746" w:rsidRPr="006B065C">
              <w:rPr>
                <w:rStyle w:val="Hyperlink"/>
                <w:noProof/>
              </w:rPr>
              <w:t>Weitere Lehrerversuche</w:t>
            </w:r>
            <w:r w:rsidR="00116746">
              <w:rPr>
                <w:noProof/>
                <w:webHidden/>
              </w:rPr>
              <w:tab/>
            </w:r>
            <w:r w:rsidR="00116746">
              <w:rPr>
                <w:noProof/>
                <w:webHidden/>
              </w:rPr>
              <w:fldChar w:fldCharType="begin"/>
            </w:r>
            <w:r w:rsidR="00116746">
              <w:rPr>
                <w:noProof/>
                <w:webHidden/>
              </w:rPr>
              <w:instrText xml:space="preserve"> PAGEREF _Toc427054869 \h </w:instrText>
            </w:r>
            <w:r w:rsidR="00116746">
              <w:rPr>
                <w:noProof/>
                <w:webHidden/>
              </w:rPr>
            </w:r>
            <w:r w:rsidR="00116746">
              <w:rPr>
                <w:noProof/>
                <w:webHidden/>
              </w:rPr>
              <w:fldChar w:fldCharType="separate"/>
            </w:r>
            <w:r w:rsidR="00116746">
              <w:rPr>
                <w:noProof/>
                <w:webHidden/>
              </w:rPr>
              <w:t>1</w:t>
            </w:r>
            <w:r w:rsidR="00116746">
              <w:rPr>
                <w:noProof/>
                <w:webHidden/>
              </w:rPr>
              <w:fldChar w:fldCharType="end"/>
            </w:r>
          </w:hyperlink>
        </w:p>
        <w:p w14:paraId="6FA017B7" w14:textId="77777777" w:rsidR="00116746" w:rsidRDefault="002C4A7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054870" w:history="1">
            <w:r w:rsidR="00116746" w:rsidRPr="006B065C">
              <w:rPr>
                <w:rStyle w:val="Hyperlink"/>
                <w:noProof/>
              </w:rPr>
              <w:t>1.1</w:t>
            </w:r>
            <w:r w:rsidR="00116746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116746" w:rsidRPr="006B065C">
              <w:rPr>
                <w:rStyle w:val="Hyperlink"/>
                <w:noProof/>
              </w:rPr>
              <w:t>V1 – Fällungstitration – Argentometrische Bestimmung nach Fajans</w:t>
            </w:r>
            <w:r w:rsidR="00116746">
              <w:rPr>
                <w:noProof/>
                <w:webHidden/>
              </w:rPr>
              <w:tab/>
            </w:r>
            <w:r w:rsidR="00116746">
              <w:rPr>
                <w:noProof/>
                <w:webHidden/>
              </w:rPr>
              <w:fldChar w:fldCharType="begin"/>
            </w:r>
            <w:r w:rsidR="00116746">
              <w:rPr>
                <w:noProof/>
                <w:webHidden/>
              </w:rPr>
              <w:instrText xml:space="preserve"> PAGEREF _Toc427054870 \h </w:instrText>
            </w:r>
            <w:r w:rsidR="00116746">
              <w:rPr>
                <w:noProof/>
                <w:webHidden/>
              </w:rPr>
            </w:r>
            <w:r w:rsidR="00116746">
              <w:rPr>
                <w:noProof/>
                <w:webHidden/>
              </w:rPr>
              <w:fldChar w:fldCharType="separate"/>
            </w:r>
            <w:r w:rsidR="00116746">
              <w:rPr>
                <w:noProof/>
                <w:webHidden/>
              </w:rPr>
              <w:t>1</w:t>
            </w:r>
            <w:r w:rsidR="00116746">
              <w:rPr>
                <w:noProof/>
                <w:webHidden/>
              </w:rPr>
              <w:fldChar w:fldCharType="end"/>
            </w:r>
          </w:hyperlink>
        </w:p>
        <w:p w14:paraId="6BBAB985" w14:textId="77777777" w:rsidR="00116746" w:rsidRDefault="002C4A75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054871" w:history="1">
            <w:r w:rsidR="00116746" w:rsidRPr="006B065C">
              <w:rPr>
                <w:rStyle w:val="Hyperlink"/>
                <w:noProof/>
              </w:rPr>
              <w:t>2</w:t>
            </w:r>
            <w:r w:rsidR="00116746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116746" w:rsidRPr="006B065C">
              <w:rPr>
                <w:rStyle w:val="Hyperlink"/>
                <w:noProof/>
              </w:rPr>
              <w:t>Weitere Schülerversuche</w:t>
            </w:r>
            <w:r w:rsidR="00116746">
              <w:rPr>
                <w:noProof/>
                <w:webHidden/>
              </w:rPr>
              <w:tab/>
            </w:r>
            <w:r w:rsidR="00116746">
              <w:rPr>
                <w:noProof/>
                <w:webHidden/>
              </w:rPr>
              <w:fldChar w:fldCharType="begin"/>
            </w:r>
            <w:r w:rsidR="00116746">
              <w:rPr>
                <w:noProof/>
                <w:webHidden/>
              </w:rPr>
              <w:instrText xml:space="preserve"> PAGEREF _Toc427054871 \h </w:instrText>
            </w:r>
            <w:r w:rsidR="00116746">
              <w:rPr>
                <w:noProof/>
                <w:webHidden/>
              </w:rPr>
            </w:r>
            <w:r w:rsidR="00116746">
              <w:rPr>
                <w:noProof/>
                <w:webHidden/>
              </w:rPr>
              <w:fldChar w:fldCharType="separate"/>
            </w:r>
            <w:r w:rsidR="00116746">
              <w:rPr>
                <w:noProof/>
                <w:webHidden/>
              </w:rPr>
              <w:t>3</w:t>
            </w:r>
            <w:r w:rsidR="00116746">
              <w:rPr>
                <w:noProof/>
                <w:webHidden/>
              </w:rPr>
              <w:fldChar w:fldCharType="end"/>
            </w:r>
          </w:hyperlink>
        </w:p>
        <w:p w14:paraId="756C0EB0" w14:textId="77777777" w:rsidR="00116746" w:rsidRDefault="002C4A7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054872" w:history="1">
            <w:r w:rsidR="00116746" w:rsidRPr="006B065C">
              <w:rPr>
                <w:rStyle w:val="Hyperlink"/>
                <w:noProof/>
              </w:rPr>
              <w:t>2.1</w:t>
            </w:r>
            <w:r w:rsidR="00116746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116746" w:rsidRPr="006B065C">
              <w:rPr>
                <w:rStyle w:val="Hyperlink"/>
                <w:noProof/>
              </w:rPr>
              <w:t>V2 – Titration mit Alltagschemikalien</w:t>
            </w:r>
            <w:r w:rsidR="00116746">
              <w:rPr>
                <w:noProof/>
                <w:webHidden/>
              </w:rPr>
              <w:tab/>
            </w:r>
            <w:r w:rsidR="00116746">
              <w:rPr>
                <w:noProof/>
                <w:webHidden/>
              </w:rPr>
              <w:fldChar w:fldCharType="begin"/>
            </w:r>
            <w:r w:rsidR="00116746">
              <w:rPr>
                <w:noProof/>
                <w:webHidden/>
              </w:rPr>
              <w:instrText xml:space="preserve"> PAGEREF _Toc427054872 \h </w:instrText>
            </w:r>
            <w:r w:rsidR="00116746">
              <w:rPr>
                <w:noProof/>
                <w:webHidden/>
              </w:rPr>
            </w:r>
            <w:r w:rsidR="00116746">
              <w:rPr>
                <w:noProof/>
                <w:webHidden/>
              </w:rPr>
              <w:fldChar w:fldCharType="separate"/>
            </w:r>
            <w:r w:rsidR="00116746">
              <w:rPr>
                <w:noProof/>
                <w:webHidden/>
              </w:rPr>
              <w:t>3</w:t>
            </w:r>
            <w:r w:rsidR="00116746">
              <w:rPr>
                <w:noProof/>
                <w:webHidden/>
              </w:rPr>
              <w:fldChar w:fldCharType="end"/>
            </w:r>
          </w:hyperlink>
        </w:p>
        <w:p w14:paraId="2E88943A" w14:textId="77777777" w:rsidR="00E26180" w:rsidRDefault="00E26180">
          <w:r>
            <w:fldChar w:fldCharType="end"/>
          </w:r>
        </w:p>
      </w:sdtContent>
    </w:sdt>
    <w:p w14:paraId="48AB5308" w14:textId="77777777" w:rsidR="00E26180" w:rsidRDefault="00E26180" w:rsidP="00E26180"/>
    <w:p w14:paraId="26ED74F8" w14:textId="5E156C3D" w:rsidR="005B0270" w:rsidRDefault="005B0270" w:rsidP="00E26180"/>
    <w:p w14:paraId="1241B1A3" w14:textId="77777777" w:rsidR="005B0270" w:rsidRPr="005B0270" w:rsidRDefault="005B0270" w:rsidP="005B0270"/>
    <w:p w14:paraId="5ED8AEA5" w14:textId="77777777" w:rsidR="005B0270" w:rsidRPr="005B0270" w:rsidRDefault="005B0270" w:rsidP="005B0270"/>
    <w:p w14:paraId="4E8A4BB5" w14:textId="77777777" w:rsidR="005B0270" w:rsidRPr="005B0270" w:rsidRDefault="005B0270" w:rsidP="005B0270"/>
    <w:p w14:paraId="76E65233" w14:textId="1D36411B" w:rsidR="005B0270" w:rsidRDefault="005B0270" w:rsidP="005B0270">
      <w:pPr>
        <w:tabs>
          <w:tab w:val="left" w:pos="3000"/>
        </w:tabs>
      </w:pPr>
      <w:r>
        <w:tab/>
      </w:r>
    </w:p>
    <w:p w14:paraId="20763230" w14:textId="7170114F" w:rsidR="005B0270" w:rsidRDefault="005B0270" w:rsidP="005B0270"/>
    <w:p w14:paraId="7354F48A" w14:textId="77777777" w:rsidR="005B0270" w:rsidRPr="005B0270" w:rsidRDefault="005B0270" w:rsidP="005B0270">
      <w:pPr>
        <w:sectPr w:rsidR="005B0270" w:rsidRPr="005B0270" w:rsidSect="00984E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14:paraId="70957CC8" w14:textId="5D979A39" w:rsidR="0086227B" w:rsidRDefault="00984EF9" w:rsidP="0086227B">
      <w:pPr>
        <w:pStyle w:val="berschrift1"/>
      </w:pPr>
      <w:bookmarkStart w:id="1" w:name="_Toc427054869"/>
      <w:r>
        <w:lastRenderedPageBreak/>
        <w:t xml:space="preserve">Weitere </w:t>
      </w:r>
      <w:r w:rsidR="00977ED8">
        <w:t>Lehrer</w:t>
      </w:r>
      <w:r w:rsidR="00F31EBF">
        <w:t>versuch</w:t>
      </w:r>
      <w:r>
        <w:t>e</w:t>
      </w:r>
      <w:bookmarkEnd w:id="1"/>
    </w:p>
    <w:p w14:paraId="6D3F8D1E" w14:textId="5BB62AAD" w:rsidR="00984EF9" w:rsidRPr="00984EF9" w:rsidRDefault="00984EF9" w:rsidP="00984EF9">
      <w:pPr>
        <w:pStyle w:val="berschrift2"/>
      </w:pPr>
      <w:bookmarkStart w:id="2" w:name="_Toc427054870"/>
      <w:r>
        <w:t xml:space="preserve">V1 – </w:t>
      </w:r>
      <w:r w:rsidR="00071E5A">
        <w:t xml:space="preserve">Fällungstitration – </w:t>
      </w:r>
      <w:proofErr w:type="spellStart"/>
      <w:r w:rsidR="00071E5A">
        <w:t>Argentometrische</w:t>
      </w:r>
      <w:proofErr w:type="spellEnd"/>
      <w:r w:rsidR="00071E5A">
        <w:t xml:space="preserve"> Bestimmung nach </w:t>
      </w:r>
      <w:proofErr w:type="spellStart"/>
      <w:r w:rsidR="00071E5A">
        <w:t>Fajans</w:t>
      </w:r>
      <w:bookmarkEnd w:id="2"/>
      <w:proofErr w:type="spellEnd"/>
    </w:p>
    <w:p w14:paraId="23A4A808" w14:textId="763BC3A4" w:rsidR="00D76F6F" w:rsidRDefault="00D76F6F" w:rsidP="00F31EBF">
      <w:pPr>
        <w:pStyle w:val="berschrift2"/>
        <w:numPr>
          <w:ilvl w:val="0"/>
          <w:numId w:val="0"/>
        </w:numPr>
      </w:pPr>
      <w:bookmarkStart w:id="3" w:name="_Toc425776595"/>
      <w:bookmarkEnd w:id="3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76F6F" w:rsidRPr="009C5E28" w14:paraId="090FD812" w14:textId="77777777" w:rsidTr="007917D6">
        <w:tc>
          <w:tcPr>
            <w:tcW w:w="9322" w:type="dxa"/>
            <w:gridSpan w:val="9"/>
            <w:shd w:val="clear" w:color="auto" w:fill="4F81BD"/>
            <w:vAlign w:val="center"/>
          </w:tcPr>
          <w:p w14:paraId="028D7D62" w14:textId="77777777" w:rsidR="00D76F6F" w:rsidRPr="00F31EBF" w:rsidRDefault="00D76F6F" w:rsidP="007917D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71E5A" w:rsidRPr="009C5E28" w14:paraId="72B57D75" w14:textId="77777777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6D0F57C" w14:textId="279ACFB0" w:rsidR="00071E5A" w:rsidRDefault="00071E5A" w:rsidP="00D76F6F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Silbernitrat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9668DB5" w14:textId="3771C860" w:rsidR="00071E5A" w:rsidRPr="009C5E28" w:rsidRDefault="00071E5A" w:rsidP="007917D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272+314+410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E5735BD" w14:textId="4F37FB77" w:rsidR="00071E5A" w:rsidRPr="009C5E28" w:rsidRDefault="00071E5A" w:rsidP="00D76F6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 273+280+301+330+331+305+351+338+309+310</w:t>
            </w:r>
          </w:p>
        </w:tc>
      </w:tr>
      <w:tr w:rsidR="00D76F6F" w:rsidRPr="009C5E28" w14:paraId="2303AD50" w14:textId="77777777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FE0D83F" w14:textId="3C0DCC82" w:rsidR="00D76F6F" w:rsidRPr="00071E5A" w:rsidRDefault="00071E5A" w:rsidP="00D76F6F">
            <w:pPr>
              <w:spacing w:after="0" w:line="276" w:lineRule="auto"/>
              <w:jc w:val="center"/>
              <w:rPr>
                <w:bCs/>
                <w:sz w:val="20"/>
              </w:rPr>
            </w:pPr>
            <w:proofErr w:type="spellStart"/>
            <w:r w:rsidRPr="00071E5A">
              <w:rPr>
                <w:bCs/>
                <w:sz w:val="20"/>
              </w:rPr>
              <w:t>Fluorescein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FD4D214" w14:textId="6D59C0EB" w:rsidR="00D76F6F" w:rsidRPr="009C5E28" w:rsidRDefault="00D76F6F" w:rsidP="00071E5A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 w:rsidR="00071E5A">
              <w:rPr>
                <w:sz w:val="20"/>
              </w:rPr>
              <w:t>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8C14B9" w14:textId="0022C9EF" w:rsidR="00D76F6F" w:rsidRPr="009C5E28" w:rsidRDefault="00D76F6F" w:rsidP="00071E5A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 w:rsidR="00071E5A">
              <w:rPr>
                <w:sz w:val="20"/>
              </w:rPr>
              <w:t>305+351+338</w:t>
            </w:r>
          </w:p>
        </w:tc>
      </w:tr>
      <w:tr w:rsidR="00071E5A" w:rsidRPr="009C5E28" w14:paraId="0FC70228" w14:textId="77777777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5D59325" w14:textId="60AA68C9" w:rsidR="00071E5A" w:rsidRPr="00071E5A" w:rsidRDefault="00071E5A" w:rsidP="00D76F6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Dextrin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D7AC64A" w14:textId="77777777" w:rsidR="00071E5A" w:rsidRPr="009C5E28" w:rsidRDefault="00071E5A" w:rsidP="00071E5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A15C22C" w14:textId="77777777" w:rsidR="00071E5A" w:rsidRPr="009C5E28" w:rsidRDefault="00071E5A" w:rsidP="00071E5A">
            <w:pPr>
              <w:spacing w:after="0"/>
              <w:jc w:val="center"/>
              <w:rPr>
                <w:sz w:val="20"/>
              </w:rPr>
            </w:pPr>
          </w:p>
        </w:tc>
      </w:tr>
      <w:tr w:rsidR="006E0DBF" w:rsidRPr="009C5E28" w14:paraId="484CF620" w14:textId="77777777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FAD086F" w14:textId="4B8AFC6C" w:rsidR="006E0DBF" w:rsidRDefault="006E0DBF" w:rsidP="00D76F6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Calciumchlorid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C29746C" w14:textId="07BEFD12" w:rsidR="006E0DBF" w:rsidRPr="009C5E28" w:rsidRDefault="006E0DBF" w:rsidP="00071E5A">
            <w:pPr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D6434DE" w14:textId="44FF5CBA" w:rsidR="006E0DBF" w:rsidRPr="009C5E28" w:rsidRDefault="006E0DBF" w:rsidP="00071E5A">
            <w:pPr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305+351+338</w:t>
            </w:r>
          </w:p>
        </w:tc>
      </w:tr>
      <w:tr w:rsidR="006E0DBF" w:rsidRPr="009C5E28" w14:paraId="5D881AF6" w14:textId="77777777" w:rsidTr="00D76F6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14:paraId="5F1CA110" w14:textId="54A3CC6C" w:rsidR="006E0DBF" w:rsidRPr="009C5E28" w:rsidRDefault="006E0DBF" w:rsidP="00D76F6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Natriumhydrogencarbonat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14:paraId="685BDC32" w14:textId="70D6F734" w:rsidR="006E0DBF" w:rsidRPr="009C5E28" w:rsidRDefault="006E0DBF" w:rsidP="007917D6">
            <w:pPr>
              <w:pStyle w:val="Beschriftung"/>
              <w:spacing w:after="0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271B4DE5" w14:textId="51A98EC5" w:rsidR="006E0DBF" w:rsidRPr="009C5E28" w:rsidRDefault="006E0DBF" w:rsidP="007917D6">
            <w:pPr>
              <w:pStyle w:val="Beschriftung"/>
              <w:spacing w:after="0"/>
              <w:jc w:val="center"/>
              <w:rPr>
                <w:sz w:val="20"/>
              </w:rPr>
            </w:pPr>
          </w:p>
        </w:tc>
      </w:tr>
      <w:tr w:rsidR="006E0DBF" w:rsidRPr="009C5E28" w14:paraId="09289861" w14:textId="77777777" w:rsidTr="00D76F6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97F483A" w14:textId="75A1C4F0" w:rsidR="006E0DBF" w:rsidRPr="009C5E28" w:rsidRDefault="006E0DBF" w:rsidP="00D76F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ECF1365" wp14:editId="2C1325E6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302B263" w14:textId="2C263EFE" w:rsidR="006E0DBF" w:rsidRPr="009C5E28" w:rsidRDefault="006E0DB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27F762" wp14:editId="270B0B26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982473A" w14:textId="4CE57E7A" w:rsidR="006E0DBF" w:rsidRPr="009C5E28" w:rsidRDefault="006E0DB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D4A67CF" wp14:editId="40EFDC5C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5F32594" w14:textId="3FFFD5AA" w:rsidR="006E0DBF" w:rsidRPr="009C5E28" w:rsidRDefault="006E0DB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A7D37AE" wp14:editId="04E428DA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BF590BB" w14:textId="2AEB819D" w:rsidR="006E0DBF" w:rsidRPr="009C5E28" w:rsidRDefault="006E0DB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0CDF2FD" wp14:editId="2E4F1529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6BE3A56" w14:textId="69BEE903" w:rsidR="006E0DBF" w:rsidRPr="009C5E28" w:rsidRDefault="006E0DB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7EFB983" wp14:editId="1287406A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AD0DE5E" w14:textId="15BB31F4" w:rsidR="006E0DBF" w:rsidRPr="009C5E28" w:rsidRDefault="006E0DB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2ACBC1F" wp14:editId="0F9D045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9EF8FEC" w14:textId="51ED7A94" w:rsidR="006E0DBF" w:rsidRPr="009C5E28" w:rsidRDefault="006E0DB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7B9A975" wp14:editId="51B6D016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671070F" w14:textId="2D6AD764" w:rsidR="006E0DBF" w:rsidRPr="009C5E28" w:rsidRDefault="006E0DB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8A6D030" wp14:editId="1CC6EDCD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8DED7" w14:textId="77777777" w:rsidR="00B901F6" w:rsidRDefault="00B901F6" w:rsidP="008E1A25">
      <w:pPr>
        <w:tabs>
          <w:tab w:val="left" w:pos="1701"/>
          <w:tab w:val="left" w:pos="1985"/>
        </w:tabs>
        <w:ind w:left="1980" w:hanging="1980"/>
      </w:pPr>
    </w:p>
    <w:p w14:paraId="2F59A729" w14:textId="68508652" w:rsidR="00A9233D" w:rsidRDefault="008E1A25" w:rsidP="00071E5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071E5A">
        <w:t>50 </w:t>
      </w:r>
      <w:proofErr w:type="spellStart"/>
      <w:r w:rsidR="00071E5A">
        <w:t>mL</w:t>
      </w:r>
      <w:proofErr w:type="spellEnd"/>
      <w:r w:rsidR="00071E5A">
        <w:t xml:space="preserve"> Bürette, 20 ml Vollpipette, 300 </w:t>
      </w:r>
      <w:proofErr w:type="spellStart"/>
      <w:r w:rsidR="00071E5A">
        <w:t>mL</w:t>
      </w:r>
      <w:proofErr w:type="spellEnd"/>
      <w:r w:rsidR="00071E5A">
        <w:t xml:space="preserve"> Erlenmeyerkolben</w:t>
      </w:r>
      <w:r w:rsidR="00264BAF">
        <w:t>, Stativ mit Klemme, Magnetrührer mit Rührmagnet</w:t>
      </w:r>
    </w:p>
    <w:p w14:paraId="1D6EAD8F" w14:textId="038244F6" w:rsidR="008E1A25" w:rsidRPr="006E0DBF" w:rsidRDefault="00A9233D" w:rsidP="008E1A25">
      <w:pPr>
        <w:tabs>
          <w:tab w:val="left" w:pos="1701"/>
          <w:tab w:val="left" w:pos="1985"/>
        </w:tabs>
        <w:ind w:left="1980" w:hanging="1980"/>
      </w:pPr>
      <w:r w:rsidRPr="006E0DBF">
        <w:t>Chemikalien:</w:t>
      </w:r>
      <w:r w:rsidRPr="006E0DBF">
        <w:tab/>
      </w:r>
      <w:r w:rsidRPr="006E0DBF">
        <w:tab/>
      </w:r>
      <w:r w:rsidR="00071E5A" w:rsidRPr="006E0DBF">
        <w:t xml:space="preserve">Silbernitrat, </w:t>
      </w:r>
      <w:proofErr w:type="spellStart"/>
      <w:r w:rsidR="00071E5A" w:rsidRPr="006E0DBF">
        <w:rPr>
          <w:bCs/>
        </w:rPr>
        <w:t>Fluorescein</w:t>
      </w:r>
      <w:proofErr w:type="spellEnd"/>
      <w:r w:rsidR="00071E5A" w:rsidRPr="006E0DBF">
        <w:rPr>
          <w:bCs/>
        </w:rPr>
        <w:t xml:space="preserve"> (0,1 %), Dextrin (2 %), </w:t>
      </w:r>
      <w:r w:rsidR="00071E5A" w:rsidRPr="006E0DBF">
        <w:rPr>
          <w:color w:val="auto"/>
        </w:rPr>
        <w:t>Natriumhydrogencarb</w:t>
      </w:r>
      <w:r w:rsidR="00071E5A" w:rsidRPr="006E0DBF">
        <w:rPr>
          <w:color w:val="auto"/>
        </w:rPr>
        <w:t>o</w:t>
      </w:r>
      <w:r w:rsidR="00071E5A" w:rsidRPr="006E0DBF">
        <w:rPr>
          <w:color w:val="auto"/>
        </w:rPr>
        <w:t>nat</w:t>
      </w:r>
      <w:r w:rsidR="00BC6B1D">
        <w:rPr>
          <w:color w:val="auto"/>
        </w:rPr>
        <w:t> (</w:t>
      </w:r>
      <w:r w:rsidR="00071E5A" w:rsidRPr="006E0DBF">
        <w:rPr>
          <w:color w:val="auto"/>
        </w:rPr>
        <w:t>5 %)</w:t>
      </w:r>
      <w:r w:rsidR="006E0DBF" w:rsidRPr="006E0DBF">
        <w:rPr>
          <w:color w:val="auto"/>
        </w:rPr>
        <w:t>, Calciumchlorid</w:t>
      </w:r>
      <w:r w:rsidR="006E0DBF">
        <w:rPr>
          <w:color w:val="auto"/>
        </w:rPr>
        <w:t xml:space="preserve">, </w:t>
      </w:r>
      <w:proofErr w:type="spellStart"/>
      <w:r w:rsidR="006E0DBF">
        <w:rPr>
          <w:color w:val="auto"/>
        </w:rPr>
        <w:t>dest</w:t>
      </w:r>
      <w:proofErr w:type="spellEnd"/>
      <w:r w:rsidR="006E0DBF">
        <w:rPr>
          <w:color w:val="auto"/>
        </w:rPr>
        <w:t>. Wasser</w:t>
      </w:r>
    </w:p>
    <w:p w14:paraId="3A04FC60" w14:textId="6AC7604A" w:rsidR="00994634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</w:r>
      <w:r w:rsidR="006E0DBF">
        <w:t xml:space="preserve">Die Analyselösung (z.B. Calciumchlorid) wird mit </w:t>
      </w:r>
      <w:proofErr w:type="spellStart"/>
      <w:r w:rsidR="006E0DBF">
        <w:t>dest</w:t>
      </w:r>
      <w:proofErr w:type="spellEnd"/>
      <w:r w:rsidR="006E0DBF">
        <w:t>. Wasser</w:t>
      </w:r>
      <w:r w:rsidR="00B901F6">
        <w:t xml:space="preserve"> </w:t>
      </w:r>
      <w:r w:rsidR="006E0DBF">
        <w:t>auf 100 </w:t>
      </w:r>
      <w:proofErr w:type="spellStart"/>
      <w:r w:rsidR="006E0DBF">
        <w:t>mL</w:t>
      </w:r>
      <w:proofErr w:type="spellEnd"/>
      <w:r w:rsidR="006E0DBF">
        <w:t xml:space="preserve"> aufgefüllt (Probenlösung). Davon werden nochmal 20 </w:t>
      </w:r>
      <w:proofErr w:type="spellStart"/>
      <w:r w:rsidR="006E0DBF">
        <w:t>mL</w:t>
      </w:r>
      <w:proofErr w:type="spellEnd"/>
      <w:r w:rsidR="006E0DBF">
        <w:t xml:space="preserve"> in einen 300 </w:t>
      </w:r>
      <w:proofErr w:type="spellStart"/>
      <w:r w:rsidR="006E0DBF">
        <w:t>mL</w:t>
      </w:r>
      <w:proofErr w:type="spellEnd"/>
      <w:r w:rsidR="006E0DBF">
        <w:t xml:space="preserve"> Erlenmeyerkolben pipettiert und </w:t>
      </w:r>
      <w:r w:rsidR="000262AC">
        <w:t>auf</w:t>
      </w:r>
      <w:r w:rsidR="006E0DBF">
        <w:t xml:space="preserve"> 100 </w:t>
      </w:r>
      <w:proofErr w:type="spellStart"/>
      <w:r w:rsidR="006E0DBF">
        <w:t>mL</w:t>
      </w:r>
      <w:proofErr w:type="spellEnd"/>
      <w:r w:rsidR="006E0DBF">
        <w:t xml:space="preserve"> </w:t>
      </w:r>
      <w:r w:rsidR="000262AC">
        <w:t xml:space="preserve">mit </w:t>
      </w:r>
      <w:proofErr w:type="spellStart"/>
      <w:r w:rsidR="006E0DBF">
        <w:t>dest</w:t>
      </w:r>
      <w:proofErr w:type="spellEnd"/>
      <w:r w:rsidR="006E0DBF">
        <w:t>. Wasser verdünnt. Nun wird 1 </w:t>
      </w:r>
      <w:proofErr w:type="spellStart"/>
      <w:r w:rsidR="006E0DBF">
        <w:t>mL</w:t>
      </w:r>
      <w:proofErr w:type="spellEnd"/>
      <w:r w:rsidR="006E0DBF">
        <w:t xml:space="preserve"> </w:t>
      </w:r>
      <w:proofErr w:type="spellStart"/>
      <w:r w:rsidR="006E0DBF">
        <w:t>Fluorescin</w:t>
      </w:r>
      <w:proofErr w:type="spellEnd"/>
      <w:r w:rsidR="006E0DBF">
        <w:t>-Lösung zugegeben und der pH-Wert wird mithi</w:t>
      </w:r>
      <w:r w:rsidR="006E0DBF">
        <w:t>l</w:t>
      </w:r>
      <w:r w:rsidR="006E0DBF">
        <w:t>fe der Zugabe von 5 %</w:t>
      </w:r>
      <w:proofErr w:type="spellStart"/>
      <w:r w:rsidR="006E0DBF">
        <w:t>iger</w:t>
      </w:r>
      <w:proofErr w:type="spellEnd"/>
      <w:r w:rsidR="006E0DBF">
        <w:t xml:space="preserve"> </w:t>
      </w:r>
      <w:proofErr w:type="spellStart"/>
      <w:r w:rsidR="006E0DBF">
        <w:t>Natriumhydrogencarbonatlösung</w:t>
      </w:r>
      <w:proofErr w:type="spellEnd"/>
      <w:r w:rsidR="006E0DBF">
        <w:t xml:space="preserve"> so eingestellt, dass innerhalb des pH-Bereichs 7-9 titriert werden kann. </w:t>
      </w:r>
      <w:r w:rsidR="00264BAF">
        <w:t>Es wird eine 0,05 M Silbernitratlösung hergestellt und in eine Bürette gefüllt, die an e</w:t>
      </w:r>
      <w:r w:rsidR="00264BAF">
        <w:t>i</w:t>
      </w:r>
      <w:r w:rsidR="00264BAF">
        <w:t>nem Stativ befestigt wird. Die Probenlösung wird auf einen Magnetrührer gestellt und mit der Silbernitrat-Lösung bis zum Farbumschlag titriert.</w:t>
      </w:r>
    </w:p>
    <w:p w14:paraId="6C52B5E8" w14:textId="064BA80F" w:rsidR="008E1A25" w:rsidRDefault="008E1A25" w:rsidP="008E1A2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264BAF">
        <w:t xml:space="preserve">Nach Zugabe </w:t>
      </w:r>
      <w:r w:rsidR="008319DF">
        <w:t>32,3 </w:t>
      </w:r>
      <w:proofErr w:type="spellStart"/>
      <w:r w:rsidR="008319DF">
        <w:t>mL</w:t>
      </w:r>
      <w:proofErr w:type="spellEnd"/>
      <w:r w:rsidR="00D93D47">
        <w:t xml:space="preserve"> der</w:t>
      </w:r>
      <w:r w:rsidR="00264BAF">
        <w:t xml:space="preserve"> Silbernitrat-Lösung kommt es zu einem Farbu</w:t>
      </w:r>
      <w:r w:rsidR="00264BAF">
        <w:t>m</w:t>
      </w:r>
      <w:r w:rsidR="00264BAF">
        <w:t>schlag von gelb-grün nach hell-pink.</w:t>
      </w:r>
    </w:p>
    <w:p w14:paraId="79EE4A6E" w14:textId="77777777" w:rsidR="00264BAF" w:rsidRDefault="00264BAF" w:rsidP="008E1A25">
      <w:pPr>
        <w:tabs>
          <w:tab w:val="left" w:pos="1701"/>
          <w:tab w:val="left" w:pos="1985"/>
        </w:tabs>
        <w:ind w:left="1980" w:hanging="1980"/>
      </w:pPr>
    </w:p>
    <w:p w14:paraId="3C19669D" w14:textId="14FF43B1" w:rsidR="00B901F6" w:rsidRDefault="00264BAF" w:rsidP="00B901F6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89312" behindDoc="1" locked="0" layoutInCell="1" allowOverlap="1" wp14:anchorId="4C6E44F8" wp14:editId="5CD7B99C">
            <wp:simplePos x="0" y="0"/>
            <wp:positionH relativeFrom="column">
              <wp:posOffset>1900554</wp:posOffset>
            </wp:positionH>
            <wp:positionV relativeFrom="paragraph">
              <wp:posOffset>14605</wp:posOffset>
            </wp:positionV>
            <wp:extent cx="2295525" cy="27464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95525" cy="2746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A637C" w14:textId="77777777" w:rsidR="00264BAF" w:rsidRDefault="00264BAF" w:rsidP="00A0582F">
      <w:pPr>
        <w:pStyle w:val="Beschriftung"/>
        <w:jc w:val="left"/>
      </w:pPr>
    </w:p>
    <w:p w14:paraId="34B759C0" w14:textId="795ED236" w:rsidR="00264BAF" w:rsidRDefault="00264BAF" w:rsidP="00A0582F">
      <w:pPr>
        <w:pStyle w:val="Beschriftung"/>
        <w:jc w:val="left"/>
      </w:pPr>
    </w:p>
    <w:p w14:paraId="78FADC16" w14:textId="77777777" w:rsidR="00264BAF" w:rsidRDefault="00264BAF" w:rsidP="00A0582F">
      <w:pPr>
        <w:pStyle w:val="Beschriftung"/>
        <w:jc w:val="left"/>
      </w:pPr>
    </w:p>
    <w:p w14:paraId="4ADA20D1" w14:textId="77777777" w:rsidR="00264BAF" w:rsidRDefault="00264BAF" w:rsidP="00A0582F">
      <w:pPr>
        <w:pStyle w:val="Beschriftung"/>
        <w:jc w:val="left"/>
      </w:pPr>
    </w:p>
    <w:p w14:paraId="2D29D043" w14:textId="77777777" w:rsidR="00264BAF" w:rsidRDefault="00264BAF" w:rsidP="00A0582F">
      <w:pPr>
        <w:pStyle w:val="Beschriftung"/>
        <w:jc w:val="left"/>
      </w:pPr>
    </w:p>
    <w:p w14:paraId="3827681E" w14:textId="77777777" w:rsidR="00264BAF" w:rsidRDefault="00264BAF" w:rsidP="00A0582F">
      <w:pPr>
        <w:pStyle w:val="Beschriftung"/>
        <w:jc w:val="left"/>
      </w:pPr>
    </w:p>
    <w:p w14:paraId="5AD20F34" w14:textId="77777777" w:rsidR="00264BAF" w:rsidRDefault="00264BAF" w:rsidP="00A0582F">
      <w:pPr>
        <w:pStyle w:val="Beschriftung"/>
        <w:jc w:val="left"/>
      </w:pPr>
    </w:p>
    <w:p w14:paraId="479E2298" w14:textId="77777777" w:rsidR="00264BAF" w:rsidRDefault="00264BAF" w:rsidP="00A0582F">
      <w:pPr>
        <w:pStyle w:val="Beschriftung"/>
        <w:jc w:val="left"/>
      </w:pPr>
    </w:p>
    <w:p w14:paraId="60F11104" w14:textId="29F55D5C" w:rsidR="00D93D47" w:rsidRDefault="00D93D47" w:rsidP="00A0582F">
      <w:pPr>
        <w:pStyle w:val="Beschriftung"/>
        <w:jc w:val="left"/>
      </w:pPr>
    </w:p>
    <w:p w14:paraId="1B26A5D7" w14:textId="450B4945" w:rsidR="00D93D47" w:rsidRDefault="00D93D47" w:rsidP="00A0582F">
      <w:pPr>
        <w:pStyle w:val="Beschriftung"/>
        <w:jc w:val="lef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541ACC3" wp14:editId="2DF68BE5">
                <wp:simplePos x="0" y="0"/>
                <wp:positionH relativeFrom="column">
                  <wp:posOffset>1881505</wp:posOffset>
                </wp:positionH>
                <wp:positionV relativeFrom="paragraph">
                  <wp:posOffset>34925</wp:posOffset>
                </wp:positionV>
                <wp:extent cx="2314575" cy="63817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0CB6D" w14:textId="3AAC98DE" w:rsidR="00D93D47" w:rsidRPr="00D93D47" w:rsidRDefault="00D93D47">
                            <w:pPr>
                              <w:rPr>
                                <w:sz w:val="18"/>
                              </w:rPr>
                            </w:pPr>
                            <w:r w:rsidRPr="00D93D47">
                              <w:rPr>
                                <w:sz w:val="18"/>
                              </w:rPr>
                              <w:t xml:space="preserve">Abb. 1 </w:t>
                            </w:r>
                            <w:proofErr w:type="spellStart"/>
                            <w:r w:rsidRPr="00D93D47">
                              <w:rPr>
                                <w:sz w:val="18"/>
                              </w:rPr>
                              <w:t>Calciumchloridlösung</w:t>
                            </w:r>
                            <w:proofErr w:type="spellEnd"/>
                            <w:r w:rsidRPr="00D93D47">
                              <w:rPr>
                                <w:sz w:val="18"/>
                              </w:rPr>
                              <w:t xml:space="preserve"> mit </w:t>
                            </w:r>
                            <w:proofErr w:type="spellStart"/>
                            <w:r w:rsidRPr="00D93D47">
                              <w:rPr>
                                <w:sz w:val="18"/>
                              </w:rPr>
                              <w:t>Fl</w:t>
                            </w:r>
                            <w:r w:rsidRPr="00D93D47">
                              <w:rPr>
                                <w:sz w:val="18"/>
                              </w:rPr>
                              <w:t>u</w:t>
                            </w:r>
                            <w:r w:rsidRPr="00D93D47">
                              <w:rPr>
                                <w:sz w:val="18"/>
                              </w:rPr>
                              <w:t>orescin</w:t>
                            </w:r>
                            <w:proofErr w:type="spellEnd"/>
                            <w:r w:rsidRPr="00D93D47">
                              <w:rPr>
                                <w:sz w:val="18"/>
                              </w:rPr>
                              <w:t xml:space="preserve">-Farbstoff. Die Fluoreszenz der Lösung ist </w:t>
                            </w:r>
                            <w:r>
                              <w:rPr>
                                <w:sz w:val="18"/>
                              </w:rPr>
                              <w:t>deutlich</w:t>
                            </w:r>
                            <w:r w:rsidRPr="00D93D47">
                              <w:rPr>
                                <w:sz w:val="18"/>
                              </w:rPr>
                              <w:t xml:space="preserve"> erkennbar.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148.15pt;margin-top:2.75pt;width:182.25pt;height:50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" filled="f" stroked="f">
                <v:textbox>
                  <w:txbxContent>
                    <w:p w14:paraId="02D0CB6D" w14:textId="3AAC98DE" w:rsidR="00D93D47" w:rsidRPr="00D93D47" w:rsidRDefault="00D93D47">
                      <w:pPr>
                        <w:rPr>
                          <w:sz w:val="18"/>
                        </w:rPr>
                      </w:pPr>
                      <w:r w:rsidRPr="00D93D47">
                        <w:rPr>
                          <w:sz w:val="18"/>
                        </w:rPr>
                        <w:t xml:space="preserve">Abb. 1 </w:t>
                      </w:r>
                      <w:proofErr w:type="spellStart"/>
                      <w:r w:rsidRPr="00D93D47">
                        <w:rPr>
                          <w:sz w:val="18"/>
                        </w:rPr>
                        <w:t>Calciumchloridlösung</w:t>
                      </w:r>
                      <w:proofErr w:type="spellEnd"/>
                      <w:r w:rsidRPr="00D93D47">
                        <w:rPr>
                          <w:sz w:val="18"/>
                        </w:rPr>
                        <w:t xml:space="preserve"> mit </w:t>
                      </w:r>
                      <w:proofErr w:type="spellStart"/>
                      <w:r w:rsidRPr="00D93D47">
                        <w:rPr>
                          <w:sz w:val="18"/>
                        </w:rPr>
                        <w:t>Fl</w:t>
                      </w:r>
                      <w:r w:rsidRPr="00D93D47">
                        <w:rPr>
                          <w:sz w:val="18"/>
                        </w:rPr>
                        <w:t>u</w:t>
                      </w:r>
                      <w:r w:rsidRPr="00D93D47">
                        <w:rPr>
                          <w:sz w:val="18"/>
                        </w:rPr>
                        <w:t>orescin</w:t>
                      </w:r>
                      <w:proofErr w:type="spellEnd"/>
                      <w:r w:rsidRPr="00D93D47">
                        <w:rPr>
                          <w:sz w:val="18"/>
                        </w:rPr>
                        <w:t xml:space="preserve">-Farbstoff. Die Fluoreszenz der Lösung ist </w:t>
                      </w:r>
                      <w:r>
                        <w:rPr>
                          <w:sz w:val="18"/>
                        </w:rPr>
                        <w:t>deutlich</w:t>
                      </w:r>
                      <w:r w:rsidRPr="00D93D47">
                        <w:rPr>
                          <w:sz w:val="18"/>
                        </w:rPr>
                        <w:t xml:space="preserve"> e</w:t>
                      </w:r>
                      <w:r w:rsidRPr="00D93D47">
                        <w:rPr>
                          <w:sz w:val="18"/>
                        </w:rPr>
                        <w:t>r</w:t>
                      </w:r>
                      <w:r w:rsidRPr="00D93D47">
                        <w:rPr>
                          <w:sz w:val="18"/>
                        </w:rPr>
                        <w:t>kennbar.</w:t>
                      </w:r>
                    </w:p>
                  </w:txbxContent>
                </v:textbox>
              </v:shape>
            </w:pict>
          </mc:Fallback>
        </mc:AlternateContent>
      </w:r>
    </w:p>
    <w:p w14:paraId="18A1FFDB" w14:textId="728248A1" w:rsidR="00264BAF" w:rsidRDefault="00264BAF" w:rsidP="00A0582F">
      <w:pPr>
        <w:pStyle w:val="Beschriftung"/>
        <w:jc w:val="left"/>
      </w:pPr>
    </w:p>
    <w:p w14:paraId="19E137D9" w14:textId="77777777" w:rsidR="00264BAF" w:rsidRDefault="00264BAF" w:rsidP="00A0582F">
      <w:pPr>
        <w:pStyle w:val="Beschriftung"/>
        <w:jc w:val="left"/>
      </w:pPr>
    </w:p>
    <w:p w14:paraId="679F0D5F" w14:textId="5447209F" w:rsidR="006E32AF" w:rsidRDefault="008E1A25" w:rsidP="00BC6B1D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 w:rsidR="00125CEA">
        <w:tab/>
      </w:r>
      <w:r w:rsidR="00BC6B1D">
        <w:t>Die Reaktionsgleichung lautet:</w:t>
      </w:r>
    </w:p>
    <w:p w14:paraId="4EACBFCE" w14:textId="5FFF25C6" w:rsidR="00BC6B1D" w:rsidRPr="00BC6B1D" w:rsidRDefault="002C4A75" w:rsidP="00BC6B1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Ag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→AgCl↓</m:t>
          </m:r>
        </m:oMath>
      </m:oMathPara>
    </w:p>
    <w:p w14:paraId="19DB3E31" w14:textId="77777777" w:rsidR="00BC6B1D" w:rsidRDefault="00BC6B1D" w:rsidP="00BC6B1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Aus der Reaktionsgleichung ist erkennbar, dass 1 Mol AgNO</w:t>
      </w:r>
      <w:r w:rsidRPr="00B1645B"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die Menge von 1 Mol Chlorid umsetzt.</w:t>
      </w:r>
    </w:p>
    <w:p w14:paraId="0D8D8B18" w14:textId="7853A894" w:rsidR="009B42DC" w:rsidRDefault="009B42DC" w:rsidP="00BC6B1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Berechnung der Konzentration an </w:t>
      </w:r>
      <w:proofErr w:type="spellStart"/>
      <w:r>
        <w:rPr>
          <w:rFonts w:eastAsiaTheme="minorEastAsia"/>
        </w:rPr>
        <w:t>Chloridionen</w:t>
      </w:r>
      <w:proofErr w:type="spellEnd"/>
      <w:r>
        <w:rPr>
          <w:rFonts w:eastAsiaTheme="minorEastAsia"/>
        </w:rPr>
        <w:t>:</w:t>
      </w:r>
    </w:p>
    <w:p w14:paraId="7A72D1D5" w14:textId="07800DD5" w:rsidR="009B42DC" w:rsidRPr="004417FB" w:rsidRDefault="009B42DC" w:rsidP="00BC6B1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4417FB">
        <w:rPr>
          <w:rFonts w:eastAsiaTheme="minorEastAsia"/>
        </w:rPr>
        <w:tab/>
      </w:r>
      <w:r w:rsidRPr="004417FB">
        <w:rPr>
          <w:rFonts w:eastAsiaTheme="minorEastAsia"/>
        </w:rPr>
        <w:tab/>
      </w:r>
      <w:r w:rsidRPr="004417FB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)∙V(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0,05</m:t>
            </m:r>
            <m:f>
              <m:fPr>
                <m:ctrlPr>
                  <w:rPr>
                    <w:rFonts w:ascii="Cambria Math" w:hAnsi="Cambria Math"/>
                    <w:sz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mol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0"/>
              </w:rPr>
              <m:t>∙43,3 mL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20 mL</m:t>
            </m:r>
          </m:den>
        </m:f>
        <m:r>
          <m:rPr>
            <m:sty m:val="p"/>
          </m:rPr>
          <w:rPr>
            <w:rFonts w:ascii="Cambria Math" w:hAnsi="Cambria Math"/>
            <w:sz w:val="20"/>
          </w:rPr>
          <m:t>=0,11 mol/L</m:t>
        </m:r>
      </m:oMath>
    </w:p>
    <w:p w14:paraId="464BB213" w14:textId="63DDEC11" w:rsidR="00BC6B1D" w:rsidRDefault="00BC6B1D" w:rsidP="00BC6B1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1645B">
        <w:rPr>
          <w:rFonts w:eastAsiaTheme="minorEastAsia"/>
        </w:rPr>
        <w:t xml:space="preserve">Am Äquivalenzpunkt sind die </w:t>
      </w:r>
      <w:proofErr w:type="spellStart"/>
      <w:r w:rsidR="00B1645B">
        <w:rPr>
          <w:rFonts w:eastAsiaTheme="minorEastAsia"/>
        </w:rPr>
        <w:t>Chloridionen</w:t>
      </w:r>
      <w:proofErr w:type="spellEnd"/>
      <w:r w:rsidR="00B1645B">
        <w:rPr>
          <w:rFonts w:eastAsiaTheme="minorEastAsia"/>
        </w:rPr>
        <w:t xml:space="preserve"> vollständig mit dem zugeset</w:t>
      </w:r>
      <w:r w:rsidR="00B1645B">
        <w:rPr>
          <w:rFonts w:eastAsiaTheme="minorEastAsia"/>
        </w:rPr>
        <w:t>z</w:t>
      </w:r>
      <w:r w:rsidR="00B1645B">
        <w:rPr>
          <w:rFonts w:eastAsiaTheme="minorEastAsia"/>
        </w:rPr>
        <w:t xml:space="preserve">ten Silbernitrat umgesetzt, so dass sich der Überschuss an </w:t>
      </w:r>
      <w:proofErr w:type="spellStart"/>
      <w:r w:rsidR="00B1645B">
        <w:rPr>
          <w:rFonts w:eastAsiaTheme="minorEastAsia"/>
        </w:rPr>
        <w:t>Silberi</w:t>
      </w:r>
      <w:r w:rsidR="00B1645B">
        <w:rPr>
          <w:rFonts w:eastAsiaTheme="minorEastAsia"/>
        </w:rPr>
        <w:t>o</w:t>
      </w:r>
      <w:r w:rsidR="00B1645B">
        <w:rPr>
          <w:rFonts w:eastAsiaTheme="minorEastAsia"/>
        </w:rPr>
        <w:t>nen</w:t>
      </w:r>
      <w:proofErr w:type="spellEnd"/>
      <w:r w:rsidR="00B1645B">
        <w:rPr>
          <w:rFonts w:eastAsiaTheme="minorEastAsia"/>
        </w:rPr>
        <w:t> (</w:t>
      </w:r>
      <w:proofErr w:type="spellStart"/>
      <w:r w:rsidR="00B1645B">
        <w:rPr>
          <w:rFonts w:eastAsiaTheme="minorEastAsia"/>
        </w:rPr>
        <w:t>Ag</w:t>
      </w:r>
      <w:proofErr w:type="spellEnd"/>
      <w:r w:rsidR="00B1645B" w:rsidRPr="00B1645B">
        <w:rPr>
          <w:rFonts w:eastAsiaTheme="minorEastAsia"/>
          <w:vertAlign w:val="superscript"/>
        </w:rPr>
        <w:t>+</w:t>
      </w:r>
      <w:r w:rsidR="00B1645B">
        <w:rPr>
          <w:rFonts w:eastAsiaTheme="minorEastAsia"/>
        </w:rPr>
        <w:t xml:space="preserve">) sich an die Silberchloride anlagern und positiv </w:t>
      </w:r>
      <w:proofErr w:type="gramStart"/>
      <w:r w:rsidR="00B1645B">
        <w:rPr>
          <w:rFonts w:eastAsiaTheme="minorEastAsia"/>
        </w:rPr>
        <w:t>aufladen</w:t>
      </w:r>
      <w:proofErr w:type="gramEnd"/>
      <w:r w:rsidR="00B1645B">
        <w:rPr>
          <w:rFonts w:eastAsiaTheme="minorEastAsia"/>
        </w:rPr>
        <w:t>. An di</w:t>
      </w:r>
      <w:r w:rsidR="00B1645B">
        <w:rPr>
          <w:rFonts w:eastAsiaTheme="minorEastAsia"/>
        </w:rPr>
        <w:t>e</w:t>
      </w:r>
      <w:r w:rsidR="00B1645B">
        <w:rPr>
          <w:rFonts w:eastAsiaTheme="minorEastAsia"/>
        </w:rPr>
        <w:t xml:space="preserve">sen lagern sich die Anionen des Farbstoffs </w:t>
      </w:r>
      <w:proofErr w:type="spellStart"/>
      <w:r w:rsidR="00B1645B">
        <w:rPr>
          <w:rFonts w:eastAsiaTheme="minorEastAsia"/>
        </w:rPr>
        <w:t>Fluorescin</w:t>
      </w:r>
      <w:proofErr w:type="spellEnd"/>
      <w:r w:rsidR="00B1645B">
        <w:rPr>
          <w:rFonts w:eastAsiaTheme="minorEastAsia"/>
        </w:rPr>
        <w:t xml:space="preserve"> an und verändern ihre </w:t>
      </w:r>
      <w:proofErr w:type="spellStart"/>
      <w:r w:rsidR="00B1645B">
        <w:rPr>
          <w:rFonts w:eastAsiaTheme="minorEastAsia"/>
        </w:rPr>
        <w:t>Molekulstruktur</w:t>
      </w:r>
      <w:proofErr w:type="spellEnd"/>
      <w:r w:rsidR="00B1645B">
        <w:rPr>
          <w:rFonts w:eastAsiaTheme="minorEastAsia"/>
        </w:rPr>
        <w:t>. Es kommt zu einem Farbumschlag.</w:t>
      </w:r>
    </w:p>
    <w:p w14:paraId="13456FB2" w14:textId="086999F7" w:rsidR="00216E3C" w:rsidRDefault="00216E3C" w:rsidP="00B1645B">
      <w:pPr>
        <w:spacing w:line="276" w:lineRule="auto"/>
        <w:ind w:left="2124" w:hanging="2124"/>
        <w:jc w:val="left"/>
      </w:pPr>
      <w:r>
        <w:t>Entsorgung:</w:t>
      </w:r>
      <w:r w:rsidR="00B1645B">
        <w:tab/>
        <w:t>Die Entsorgung der silberhaltigen Lösung e</w:t>
      </w:r>
      <w:r>
        <w:t xml:space="preserve">rfolgt </w:t>
      </w:r>
      <w:r w:rsidR="00B1645B">
        <w:t>über die anorganischen Abfälle mit Schwermetallen</w:t>
      </w:r>
      <w:r>
        <w:t xml:space="preserve">. </w:t>
      </w:r>
    </w:p>
    <w:p w14:paraId="78367B55" w14:textId="7871BF1B" w:rsidR="000F75EE" w:rsidRDefault="000F75EE" w:rsidP="000F75EE">
      <w:pPr>
        <w:pStyle w:val="Literaturverzeichnis"/>
        <w:ind w:left="2124" w:hanging="2124"/>
        <w:rPr>
          <w:noProof/>
          <w:sz w:val="20"/>
        </w:rPr>
      </w:pPr>
      <w:r>
        <w:t>Literatur:</w:t>
      </w:r>
      <w:r>
        <w:tab/>
      </w:r>
      <w:r w:rsidRPr="000F75EE">
        <w:rPr>
          <w:i/>
          <w:iCs/>
          <w:noProof/>
          <w:sz w:val="20"/>
        </w:rPr>
        <w:t>Universität Bochum</w:t>
      </w:r>
      <w:r w:rsidRPr="000F75EE">
        <w:rPr>
          <w:noProof/>
          <w:sz w:val="20"/>
        </w:rPr>
        <w:t>. Abgerufen am 9. August 2015 von www.ruhr-uni-bochum.de/quanti-praktikum/versuche/beschreibungen/v253_nach_fajans.pdf</w:t>
      </w:r>
    </w:p>
    <w:p w14:paraId="51367EFD" w14:textId="7369C40D" w:rsidR="000F75EE" w:rsidRPr="000F75EE" w:rsidRDefault="000F75EE" w:rsidP="000F75EE">
      <w:pPr>
        <w:ind w:left="2124"/>
      </w:pPr>
      <w:r>
        <w:rPr>
          <w:noProof/>
        </w:rPr>
        <w:t>Lickl, E. (2014/15). Abgerufen am 9. August 2015 von www.lickl.net/doku/fällungsmassanalyse.pdf</w:t>
      </w:r>
    </w:p>
    <w:p w14:paraId="0EFAE117" w14:textId="77777777" w:rsidR="000F75EE" w:rsidRPr="000F75EE" w:rsidRDefault="000F75EE" w:rsidP="000F75EE"/>
    <w:p w14:paraId="7758C2B7" w14:textId="73D0C784" w:rsidR="006E32AF" w:rsidRDefault="00264BAF" w:rsidP="006E32AF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inline distT="0" distB="0" distL="0" distR="0" wp14:anchorId="17E4B506" wp14:editId="10CF4A8B">
                <wp:extent cx="5873115" cy="1104900"/>
                <wp:effectExtent l="0" t="0" r="13335" b="19050"/>
                <wp:docPr id="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104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C0870E" w14:textId="3446E031" w:rsidR="006A0F35" w:rsidRPr="00F31EBF" w:rsidRDefault="00D93D47" w:rsidP="000D10FB">
                            <w:pPr>
                              <w:rPr>
                                <w:color w:val="auto"/>
                              </w:rPr>
                            </w:pPr>
                            <w:r w:rsidRPr="009B42DC">
                              <w:rPr>
                                <w:b/>
                                <w:color w:val="auto"/>
                              </w:rPr>
                              <w:t>Anmerkungen:</w:t>
                            </w:r>
                            <w:r>
                              <w:rPr>
                                <w:color w:val="auto"/>
                              </w:rPr>
                              <w:t xml:space="preserve"> Eventuell ist es bei der Deutung sinnvoll</w:t>
                            </w:r>
                            <w:r w:rsidR="008319DF">
                              <w:rPr>
                                <w:color w:val="auto"/>
                              </w:rPr>
                              <w:t>,</w:t>
                            </w:r>
                            <w:r>
                              <w:rPr>
                                <w:color w:val="auto"/>
                              </w:rPr>
                              <w:t xml:space="preserve"> eine didaktische Reduktion vorz</w:t>
                            </w:r>
                            <w:r>
                              <w:rPr>
                                <w:color w:val="auto"/>
                              </w:rPr>
                              <w:t>u</w:t>
                            </w:r>
                            <w:r>
                              <w:rPr>
                                <w:color w:val="auto"/>
                              </w:rPr>
                              <w:t xml:space="preserve">nehmen und sich nur auf die Reaktionsgleichung und Bestimmung des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Chloridgehalts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zu </w:t>
                            </w:r>
                            <w:r w:rsidR="009B42DC">
                              <w:rPr>
                                <w:color w:val="auto"/>
                              </w:rPr>
                              <w:t>b</w:t>
                            </w:r>
                            <w:r w:rsidR="009B42DC">
                              <w:rPr>
                                <w:color w:val="auto"/>
                              </w:rPr>
                              <w:t>e</w:t>
                            </w:r>
                            <w:r w:rsidR="009B42DC">
                              <w:rPr>
                                <w:color w:val="auto"/>
                              </w:rPr>
                              <w:t>schränken, da der genaue Prozess der Ausfällung und Farbumschlag für die Schüler_innen zu komplex sein kann.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8" type="#_x0000_t202" style="width:462.4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" fillcolor="white [3201]" strokecolor="#c0504d [3205]" strokeweight="1pt">
                <v:stroke dashstyle="dash"/>
                <v:shadow color="#868686"/>
                <v:textbox>
                  <w:txbxContent>
                    <w:p w14:paraId="13C0870E" w14:textId="3446E031" w:rsidR="006A0F35" w:rsidRPr="00F31EBF" w:rsidRDefault="00D93D47" w:rsidP="000D10FB">
                      <w:pPr>
                        <w:rPr>
                          <w:color w:val="auto"/>
                        </w:rPr>
                      </w:pPr>
                      <w:r w:rsidRPr="009B42DC">
                        <w:rPr>
                          <w:b/>
                          <w:color w:val="auto"/>
                        </w:rPr>
                        <w:t>Anmerkungen:</w:t>
                      </w:r>
                      <w:r>
                        <w:rPr>
                          <w:color w:val="auto"/>
                        </w:rPr>
                        <w:t xml:space="preserve"> Eventuell ist es bei der Deutung sinnvoll</w:t>
                      </w:r>
                      <w:r w:rsidR="008319DF">
                        <w:rPr>
                          <w:color w:val="auto"/>
                        </w:rPr>
                        <w:t>,</w:t>
                      </w:r>
                      <w:r>
                        <w:rPr>
                          <w:color w:val="auto"/>
                        </w:rPr>
                        <w:t xml:space="preserve"> eine didaktische Reduktion vorz</w:t>
                      </w:r>
                      <w:r>
                        <w:rPr>
                          <w:color w:val="auto"/>
                        </w:rPr>
                        <w:t>u</w:t>
                      </w:r>
                      <w:r>
                        <w:rPr>
                          <w:color w:val="auto"/>
                        </w:rPr>
                        <w:t xml:space="preserve">nehmen und sich nur auf die Reaktionsgleichung und Bestimmung des </w:t>
                      </w:r>
                      <w:proofErr w:type="spellStart"/>
                      <w:r>
                        <w:rPr>
                          <w:color w:val="auto"/>
                        </w:rPr>
                        <w:t>Chloridgehalts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zu </w:t>
                      </w:r>
                      <w:r w:rsidR="009B42DC">
                        <w:rPr>
                          <w:color w:val="auto"/>
                        </w:rPr>
                        <w:t>b</w:t>
                      </w:r>
                      <w:r w:rsidR="009B42DC">
                        <w:rPr>
                          <w:color w:val="auto"/>
                        </w:rPr>
                        <w:t>e</w:t>
                      </w:r>
                      <w:r w:rsidR="009B42DC">
                        <w:rPr>
                          <w:color w:val="auto"/>
                        </w:rPr>
                        <w:t>schränken, da der genaue Prozess der Ausfällung und Farbumschlag für die Schüler_innen zu komplex sein kann.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32D4A1" w14:textId="20D577E0" w:rsidR="00B619BB" w:rsidRDefault="00984EF9" w:rsidP="005669B2">
      <w:pPr>
        <w:pStyle w:val="berschrift1"/>
      </w:pPr>
      <w:bookmarkStart w:id="4" w:name="_Toc427054871"/>
      <w:r>
        <w:t xml:space="preserve">Weitere </w:t>
      </w:r>
      <w:r w:rsidR="00994634">
        <w:t>Schülerversuch</w:t>
      </w:r>
      <w:r>
        <w:t>e</w:t>
      </w:r>
      <w:bookmarkEnd w:id="4"/>
    </w:p>
    <w:p w14:paraId="4C672665" w14:textId="59583758" w:rsidR="009B42DC" w:rsidRPr="00984EF9" w:rsidRDefault="00984EF9" w:rsidP="009B42DC">
      <w:pPr>
        <w:pStyle w:val="berschrift2"/>
      </w:pPr>
      <w:bookmarkStart w:id="5" w:name="_Toc427054872"/>
      <w:r>
        <w:t xml:space="preserve">V2 – </w:t>
      </w:r>
      <w:r w:rsidR="009B42DC">
        <w:t>Titration mit Alltagschemikalien</w:t>
      </w:r>
      <w:bookmarkEnd w:id="5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B42DC" w:rsidRPr="009C5E28" w14:paraId="0A9A8EA7" w14:textId="77777777" w:rsidTr="002C6B34">
        <w:tc>
          <w:tcPr>
            <w:tcW w:w="9322" w:type="dxa"/>
            <w:gridSpan w:val="9"/>
            <w:shd w:val="clear" w:color="auto" w:fill="4F81BD"/>
            <w:vAlign w:val="center"/>
          </w:tcPr>
          <w:p w14:paraId="1796ADE9" w14:textId="77777777" w:rsidR="009B42DC" w:rsidRPr="00F31EBF" w:rsidRDefault="009B42DC" w:rsidP="002C6B34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8319DF" w:rsidRPr="009C5E28" w14:paraId="6B0531DE" w14:textId="77777777" w:rsidTr="002C6B3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65F4953" w14:textId="17820E10" w:rsidR="008319DF" w:rsidRPr="009C5E28" w:rsidRDefault="008319DF" w:rsidP="002C6B34">
            <w:pPr>
              <w:spacing w:after="0" w:line="276" w:lineRule="auto"/>
              <w:jc w:val="center"/>
              <w:rPr>
                <w:b/>
                <w:bCs/>
              </w:rPr>
            </w:pPr>
            <w:r w:rsidRPr="00A66387">
              <w:rPr>
                <w:color w:val="auto"/>
                <w:sz w:val="20"/>
                <w:szCs w:val="20"/>
              </w:rPr>
              <w:t>Natriumhydroxid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08CD8E1" w14:textId="197D92E4" w:rsidR="008319DF" w:rsidRPr="009C5E28" w:rsidRDefault="008319DF" w:rsidP="002C6B34">
            <w:pPr>
              <w:spacing w:after="0"/>
              <w:jc w:val="center"/>
            </w:pPr>
            <w:r>
              <w:rPr>
                <w:sz w:val="20"/>
                <w:szCs w:val="20"/>
              </w:rPr>
              <w:t>H: 314+290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66926DF" w14:textId="1B03D581" w:rsidR="008319DF" w:rsidRPr="009C5E28" w:rsidRDefault="008319DF" w:rsidP="002C6B34">
            <w:pPr>
              <w:spacing w:after="0"/>
              <w:jc w:val="center"/>
            </w:pPr>
            <w:r>
              <w:rPr>
                <w:sz w:val="20"/>
                <w:szCs w:val="20"/>
              </w:rPr>
              <w:t>P: 280+301+330+331+305+351+338+308+310</w:t>
            </w:r>
          </w:p>
        </w:tc>
      </w:tr>
      <w:tr w:rsidR="00491B4D" w:rsidRPr="009C5E28" w14:paraId="43147243" w14:textId="77777777" w:rsidTr="002C6B3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1CD3416" w14:textId="02705C1F" w:rsidR="00491B4D" w:rsidRDefault="00491B4D" w:rsidP="002C6B3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Bromthymolblau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8541E49" w14:textId="77777777" w:rsidR="00491B4D" w:rsidRDefault="00491B4D" w:rsidP="002C6B3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E1ABEBE" w14:textId="77777777" w:rsidR="00491B4D" w:rsidRDefault="00491B4D" w:rsidP="002C6B3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91B4D" w:rsidRPr="009C5E28" w14:paraId="44A4CB50" w14:textId="77777777" w:rsidTr="002C6B3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0B36F46" w14:textId="011896CE" w:rsidR="00491B4D" w:rsidRPr="00A66387" w:rsidRDefault="00491B4D" w:rsidP="002C6B3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Essigsäure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EC08CAB" w14:textId="1359F5E8" w:rsidR="00491B4D" w:rsidRDefault="00491B4D" w:rsidP="002C6B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226+315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BE17DD2" w14:textId="5E35097B" w:rsidR="00491B4D" w:rsidRDefault="00491B4D" w:rsidP="002C6B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 280+301+330+331+305+351+338</w:t>
            </w:r>
          </w:p>
        </w:tc>
      </w:tr>
      <w:tr w:rsidR="009B42DC" w:rsidRPr="009C5E28" w14:paraId="7A6AB36F" w14:textId="77777777" w:rsidTr="002C6B34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14:paraId="41571154" w14:textId="294548CE" w:rsidR="009B42DC" w:rsidRPr="009C5E28" w:rsidRDefault="00491B4D" w:rsidP="002C6B34">
            <w:pPr>
              <w:spacing w:after="0" w:line="276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Citronensäure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14:paraId="44408AC6" w14:textId="0EF718D3" w:rsidR="009B42DC" w:rsidRPr="009C5E28" w:rsidRDefault="009B42DC" w:rsidP="00491B4D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 w:rsidR="00491B4D">
              <w:t>318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7B189DCD" w14:textId="2ED262D6" w:rsidR="009B42DC" w:rsidRPr="009C5E28" w:rsidRDefault="009B42DC" w:rsidP="002C6B34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 w:rsidR="00491B4D">
              <w:rPr>
                <w:sz w:val="20"/>
                <w:szCs w:val="20"/>
              </w:rPr>
              <w:t>305+351+338+311</w:t>
            </w:r>
          </w:p>
        </w:tc>
      </w:tr>
      <w:tr w:rsidR="009B42DC" w:rsidRPr="009C5E28" w14:paraId="3964E52E" w14:textId="77777777" w:rsidTr="002C6B3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A72B42A" w14:textId="77777777" w:rsidR="009B42DC" w:rsidRPr="009C5E28" w:rsidRDefault="009B42DC" w:rsidP="002C6B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2782B9A9" wp14:editId="5D195C76">
                  <wp:extent cx="504190" cy="50419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D769F6D" w14:textId="77777777" w:rsidR="009B42DC" w:rsidRPr="009C5E28" w:rsidRDefault="009B42DC" w:rsidP="002C6B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0FD136E" wp14:editId="77DF2066">
                  <wp:extent cx="504190" cy="50419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ACEEF37" w14:textId="77777777" w:rsidR="009B42DC" w:rsidRPr="009C5E28" w:rsidRDefault="009B42DC" w:rsidP="002C6B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5EAE729" wp14:editId="5E73C0EF">
                  <wp:extent cx="504190" cy="5041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FBBE9EB" w14:textId="77777777" w:rsidR="009B42DC" w:rsidRPr="009C5E28" w:rsidRDefault="009B42DC" w:rsidP="002C6B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C08B6A0" wp14:editId="2552FE1B">
                  <wp:extent cx="504190" cy="50419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709CD83" w14:textId="77777777" w:rsidR="009B42DC" w:rsidRPr="009C5E28" w:rsidRDefault="009B42DC" w:rsidP="002C6B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BEB0D86" wp14:editId="0372C4F8">
                  <wp:extent cx="504190" cy="5041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E1DFF11" w14:textId="77777777" w:rsidR="009B42DC" w:rsidRPr="009C5E28" w:rsidRDefault="009B42DC" w:rsidP="002C6B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4FB1829" wp14:editId="0FDAD455">
                  <wp:extent cx="504190" cy="50419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FCF1F57" w14:textId="77777777" w:rsidR="009B42DC" w:rsidRPr="009C5E28" w:rsidRDefault="009B42DC" w:rsidP="002C6B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91088E2" wp14:editId="6A60354B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7F24995" w14:textId="77777777" w:rsidR="009B42DC" w:rsidRPr="009C5E28" w:rsidRDefault="009B42DC" w:rsidP="002C6B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7E96D5E" wp14:editId="211570F0">
                  <wp:extent cx="511175" cy="511175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4FDD86F" w14:textId="77777777" w:rsidR="009B42DC" w:rsidRPr="009C5E28" w:rsidRDefault="009B42DC" w:rsidP="002C6B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E9A6D18" wp14:editId="15581D9E">
                  <wp:extent cx="504190" cy="5041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B8DACB" w14:textId="77777777" w:rsidR="009B42DC" w:rsidRDefault="009B42DC" w:rsidP="009B42DC">
      <w:pPr>
        <w:tabs>
          <w:tab w:val="left" w:pos="1701"/>
          <w:tab w:val="left" w:pos="1985"/>
        </w:tabs>
        <w:ind w:left="1980" w:hanging="1980"/>
      </w:pPr>
    </w:p>
    <w:p w14:paraId="559B4FC5" w14:textId="67E22598" w:rsidR="00491B4D" w:rsidRDefault="009B42DC" w:rsidP="00491B4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491B4D">
        <w:t>50 </w:t>
      </w:r>
      <w:proofErr w:type="spellStart"/>
      <w:r w:rsidR="00491B4D">
        <w:t>mL</w:t>
      </w:r>
      <w:proofErr w:type="spellEnd"/>
      <w:r w:rsidR="00491B4D">
        <w:t xml:space="preserve"> Bürette, 20 ml Pipette, </w:t>
      </w:r>
      <w:proofErr w:type="spellStart"/>
      <w:r w:rsidR="00491B4D">
        <w:t>Peleusball</w:t>
      </w:r>
      <w:proofErr w:type="spellEnd"/>
      <w:r w:rsidR="00491B4D">
        <w:t>, 100 </w:t>
      </w:r>
      <w:proofErr w:type="spellStart"/>
      <w:r w:rsidR="00491B4D">
        <w:t>mL</w:t>
      </w:r>
      <w:proofErr w:type="spellEnd"/>
      <w:r w:rsidR="00491B4D">
        <w:t xml:space="preserve"> Erlenmeyerkolben, Stativ mit Klemme, Magnetrührer mit Rührmagnet</w:t>
      </w:r>
    </w:p>
    <w:p w14:paraId="76E627F0" w14:textId="42BFCDA0" w:rsidR="009B42DC" w:rsidRPr="00ED07C2" w:rsidRDefault="009B42DC" w:rsidP="009B42D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491B4D">
        <w:t xml:space="preserve">Natriumhydroxid, Essig aus einem Gurkenglas, Zitronensaft, </w:t>
      </w:r>
      <w:proofErr w:type="spellStart"/>
      <w:r w:rsidR="00491B4D">
        <w:t>Bromthymo</w:t>
      </w:r>
      <w:r w:rsidR="00491B4D">
        <w:t>l</w:t>
      </w:r>
      <w:r w:rsidR="00491B4D">
        <w:t>blau</w:t>
      </w:r>
      <w:proofErr w:type="spellEnd"/>
      <w:r w:rsidR="00491B4D">
        <w:t xml:space="preserve">, </w:t>
      </w:r>
      <w:proofErr w:type="spellStart"/>
      <w:r w:rsidR="00491B4D">
        <w:t>dest</w:t>
      </w:r>
      <w:proofErr w:type="spellEnd"/>
      <w:r w:rsidR="00491B4D">
        <w:t>. Wasser</w:t>
      </w:r>
    </w:p>
    <w:p w14:paraId="7697290E" w14:textId="444725EA" w:rsidR="009B42DC" w:rsidRDefault="009B42DC" w:rsidP="009B42DC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</w:r>
      <w:r w:rsidR="00491B4D">
        <w:t>Pipettiere 15 </w:t>
      </w:r>
      <w:proofErr w:type="spellStart"/>
      <w:r w:rsidR="00491B4D">
        <w:t>mL</w:t>
      </w:r>
      <w:proofErr w:type="spellEnd"/>
      <w:r w:rsidR="00491B4D">
        <w:t xml:space="preserve"> Gurkenessig in einem 100 </w:t>
      </w:r>
      <w:proofErr w:type="spellStart"/>
      <w:r w:rsidR="00491B4D">
        <w:t>mL</w:t>
      </w:r>
      <w:proofErr w:type="spellEnd"/>
      <w:r w:rsidR="00491B4D">
        <w:t xml:space="preserve"> Erlenmeyerkolben und gebe einige Tropfen </w:t>
      </w:r>
      <w:proofErr w:type="spellStart"/>
      <w:r w:rsidR="00491B4D">
        <w:t>Bromthymolblau</w:t>
      </w:r>
      <w:proofErr w:type="spellEnd"/>
      <w:r w:rsidR="00491B4D">
        <w:t xml:space="preserve"> hinzu. Befestige eine Bürette an e</w:t>
      </w:r>
      <w:r w:rsidR="00491B4D">
        <w:t>i</w:t>
      </w:r>
      <w:r w:rsidR="00491B4D">
        <w:t>nem Stativ und fülle diese mit Natronlauge (c = 0,1 </w:t>
      </w:r>
      <w:proofErr w:type="spellStart"/>
      <w:r w:rsidR="00491B4D">
        <w:t>mol</w:t>
      </w:r>
      <w:proofErr w:type="spellEnd"/>
      <w:r w:rsidR="00491B4D">
        <w:t xml:space="preserve">/L) </w:t>
      </w:r>
      <w:r w:rsidR="00E930F6">
        <w:t xml:space="preserve">auf. Auf einen Magnetrührer wird nun die Gurkenessig-Lösung mit Natronlauge bis zum Farbumschlag titriert und das zugesetzte Volumen an Natronlauge notiert.  </w:t>
      </w:r>
    </w:p>
    <w:p w14:paraId="56723105" w14:textId="4D145DF8" w:rsidR="00E930F6" w:rsidRDefault="00E930F6" w:rsidP="009B42DC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Der Zitronensaft aus einer Zitrone wird abfiltriert und 15 </w:t>
      </w:r>
      <w:proofErr w:type="spellStart"/>
      <w:r>
        <w:t>mL</w:t>
      </w:r>
      <w:proofErr w:type="spellEnd"/>
      <w:r>
        <w:t xml:space="preserve"> davon in e</w:t>
      </w:r>
      <w:r>
        <w:t>i</w:t>
      </w:r>
      <w:r>
        <w:t>nem 100 </w:t>
      </w:r>
      <w:proofErr w:type="spellStart"/>
      <w:r>
        <w:t>mL</w:t>
      </w:r>
      <w:proofErr w:type="spellEnd"/>
      <w:r>
        <w:t xml:space="preserve"> Erlenmeyerkolben auf 50 </w:t>
      </w:r>
      <w:proofErr w:type="spellStart"/>
      <w:r>
        <w:t>mL</w:t>
      </w:r>
      <w:proofErr w:type="spellEnd"/>
      <w:r>
        <w:t xml:space="preserve"> mit </w:t>
      </w:r>
      <w:proofErr w:type="spellStart"/>
      <w:r>
        <w:t>dest</w:t>
      </w:r>
      <w:proofErr w:type="spellEnd"/>
      <w:r>
        <w:t xml:space="preserve">. Wasser verdünnt. Nach Zugabe von </w:t>
      </w:r>
      <w:proofErr w:type="spellStart"/>
      <w:r>
        <w:t>Bromthymolblau</w:t>
      </w:r>
      <w:proofErr w:type="spellEnd"/>
      <w:r>
        <w:t xml:space="preserve"> wird wie bei der ersten Mess</w:t>
      </w:r>
      <w:r w:rsidR="00FF43A2">
        <w:t>ung titriert und das Volumen der</w:t>
      </w:r>
      <w:r>
        <w:t xml:space="preserve"> zugesetzten Natronlauge beim Farbumschlag festgeha</w:t>
      </w:r>
      <w:r>
        <w:t>l</w:t>
      </w:r>
      <w:r>
        <w:t>ten.</w:t>
      </w:r>
    </w:p>
    <w:p w14:paraId="200EFC7E" w14:textId="6029DD83" w:rsidR="009B42DC" w:rsidRDefault="009B42DC" w:rsidP="009B42DC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</w:r>
      <w:r>
        <w:tab/>
        <w:t xml:space="preserve">Im Verlauf der </w:t>
      </w:r>
      <w:r w:rsidR="002C5A8B">
        <w:t>Titration</w:t>
      </w:r>
      <w:r>
        <w:t xml:space="preserve"> verfärbt sich </w:t>
      </w:r>
      <w:r w:rsidR="00E930F6">
        <w:t>die Gurkenessig- bzw. Zitronensaftl</w:t>
      </w:r>
      <w:r w:rsidR="00E930F6">
        <w:t>ö</w:t>
      </w:r>
      <w:r w:rsidR="00E930F6">
        <w:t>sung</w:t>
      </w:r>
      <w:r w:rsidR="002C5A8B">
        <w:t xml:space="preserve"> von gelb zu grün-blau</w:t>
      </w:r>
      <w:r w:rsidR="00D108DC">
        <w:t xml:space="preserve"> (Abb. 2)</w:t>
      </w:r>
      <w:r w:rsidR="002C5A8B">
        <w:t>.</w:t>
      </w:r>
    </w:p>
    <w:p w14:paraId="79F931BB" w14:textId="749F4B25" w:rsidR="009B42DC" w:rsidRDefault="00D108DC" w:rsidP="009B42DC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793408" behindDoc="1" locked="0" layoutInCell="1" allowOverlap="1" wp14:anchorId="266F964F" wp14:editId="1C58E8FE">
            <wp:simplePos x="0" y="0"/>
            <wp:positionH relativeFrom="column">
              <wp:posOffset>2694010</wp:posOffset>
            </wp:positionH>
            <wp:positionV relativeFrom="paragraph">
              <wp:posOffset>259154</wp:posOffset>
            </wp:positionV>
            <wp:extent cx="2271644" cy="2571821"/>
            <wp:effectExtent l="0" t="0" r="0" b="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69.JP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71645" cy="2571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92384" behindDoc="1" locked="0" layoutInCell="1" allowOverlap="1" wp14:anchorId="3CD16453" wp14:editId="46130710">
            <wp:simplePos x="0" y="0"/>
            <wp:positionH relativeFrom="column">
              <wp:posOffset>99060</wp:posOffset>
            </wp:positionH>
            <wp:positionV relativeFrom="paragraph">
              <wp:posOffset>258445</wp:posOffset>
            </wp:positionV>
            <wp:extent cx="2593975" cy="2573020"/>
            <wp:effectExtent l="0" t="0" r="0" b="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70.JPG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3975" cy="257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A8A76" w14:textId="763E286A" w:rsidR="002C5A8B" w:rsidRDefault="002C5A8B" w:rsidP="009B42DC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14:paraId="22CEB7BF" w14:textId="79F82DB6" w:rsidR="002C5A8B" w:rsidRDefault="002C5A8B" w:rsidP="009B42DC">
      <w:pPr>
        <w:keepNext/>
        <w:tabs>
          <w:tab w:val="left" w:pos="1701"/>
          <w:tab w:val="left" w:pos="1985"/>
        </w:tabs>
        <w:ind w:left="1980" w:hanging="1980"/>
      </w:pPr>
    </w:p>
    <w:p w14:paraId="7077EE82" w14:textId="028648B0" w:rsidR="00D108DC" w:rsidRDefault="00D108DC" w:rsidP="009B42DC">
      <w:pPr>
        <w:keepNext/>
        <w:tabs>
          <w:tab w:val="left" w:pos="1701"/>
          <w:tab w:val="left" w:pos="1985"/>
        </w:tabs>
        <w:ind w:left="1980" w:hanging="1980"/>
      </w:pPr>
    </w:p>
    <w:p w14:paraId="4405E045" w14:textId="77777777" w:rsidR="00D108DC" w:rsidRDefault="00D108DC" w:rsidP="009B42DC">
      <w:pPr>
        <w:keepNext/>
        <w:tabs>
          <w:tab w:val="left" w:pos="1701"/>
          <w:tab w:val="left" w:pos="1985"/>
        </w:tabs>
        <w:ind w:left="1980" w:hanging="1980"/>
      </w:pPr>
    </w:p>
    <w:p w14:paraId="30799840" w14:textId="77777777" w:rsidR="00D108DC" w:rsidRDefault="00D108DC" w:rsidP="009B42DC">
      <w:pPr>
        <w:keepNext/>
        <w:tabs>
          <w:tab w:val="left" w:pos="1701"/>
          <w:tab w:val="left" w:pos="1985"/>
        </w:tabs>
        <w:ind w:left="1980" w:hanging="1980"/>
      </w:pPr>
    </w:p>
    <w:p w14:paraId="43D29947" w14:textId="77777777" w:rsidR="00D108DC" w:rsidRDefault="00D108DC" w:rsidP="009B42DC">
      <w:pPr>
        <w:keepNext/>
        <w:tabs>
          <w:tab w:val="left" w:pos="1701"/>
          <w:tab w:val="left" w:pos="1985"/>
        </w:tabs>
        <w:ind w:left="1980" w:hanging="1980"/>
      </w:pPr>
    </w:p>
    <w:p w14:paraId="014F2452" w14:textId="4C032716" w:rsidR="00D108DC" w:rsidRDefault="00D108DC" w:rsidP="009B42DC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FE8E03F" wp14:editId="66447845">
                <wp:simplePos x="0" y="0"/>
                <wp:positionH relativeFrom="column">
                  <wp:posOffset>99665</wp:posOffset>
                </wp:positionH>
                <wp:positionV relativeFrom="paragraph">
                  <wp:posOffset>296812</wp:posOffset>
                </wp:positionV>
                <wp:extent cx="4249420" cy="308344"/>
                <wp:effectExtent l="0" t="0" r="0" b="0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420" cy="308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45B42" w14:textId="5C8C7F59" w:rsidR="00D108DC" w:rsidRPr="00D93D47" w:rsidRDefault="00D108DC" w:rsidP="00D108DC">
                            <w:pPr>
                              <w:rPr>
                                <w:sz w:val="18"/>
                              </w:rPr>
                            </w:pPr>
                            <w:r w:rsidRPr="00D93D47"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>bb. 2</w:t>
                            </w:r>
                            <w:r w:rsidRPr="00D93D47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Zitronensaft vor der Titration (links) und danach (rechts)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.85pt;margin-top:23.35pt;width:334.6pt;height:24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" filled="f" stroked="f">
                <v:textbox>
                  <w:txbxContent>
                    <w:p w14:paraId="4EE45B42" w14:textId="5C8C7F59" w:rsidR="00D108DC" w:rsidRPr="00D93D47" w:rsidRDefault="00D108DC" w:rsidP="00D108DC">
                      <w:pPr>
                        <w:rPr>
                          <w:sz w:val="18"/>
                        </w:rPr>
                      </w:pPr>
                      <w:r w:rsidRPr="00D93D47">
                        <w:rPr>
                          <w:sz w:val="18"/>
                        </w:rPr>
                        <w:t>A</w:t>
                      </w:r>
                      <w:r>
                        <w:rPr>
                          <w:sz w:val="18"/>
                        </w:rPr>
                        <w:t>bb. 2</w:t>
                      </w:r>
                      <w:r w:rsidRPr="00D93D47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Zitronensaft vor </w:t>
                      </w:r>
                      <w:r>
                        <w:rPr>
                          <w:sz w:val="18"/>
                        </w:rPr>
                        <w:t>der Titration</w:t>
                      </w:r>
                      <w:r>
                        <w:rPr>
                          <w:sz w:val="18"/>
                        </w:rPr>
                        <w:t xml:space="preserve"> (links) und danach (rechts) </w:t>
                      </w:r>
                    </w:p>
                  </w:txbxContent>
                </v:textbox>
              </v:shape>
            </w:pict>
          </mc:Fallback>
        </mc:AlternateContent>
      </w:r>
    </w:p>
    <w:p w14:paraId="54310400" w14:textId="3A28D86A" w:rsidR="00D108DC" w:rsidRDefault="00D108DC" w:rsidP="009B42DC">
      <w:pPr>
        <w:keepNext/>
        <w:tabs>
          <w:tab w:val="left" w:pos="1701"/>
          <w:tab w:val="left" w:pos="1985"/>
        </w:tabs>
        <w:ind w:left="1980" w:hanging="1980"/>
      </w:pPr>
    </w:p>
    <w:p w14:paraId="6B524920" w14:textId="5C736682" w:rsidR="009B42DC" w:rsidRDefault="009B42DC" w:rsidP="002C5A8B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</w:r>
      <w:r w:rsidR="002C5A8B">
        <w:t>Es kommt in beiden Titrationen zu einer Neutralisationsreaktion:</w:t>
      </w:r>
    </w:p>
    <w:p w14:paraId="52306F47" w14:textId="77777777" w:rsidR="002C5A8B" w:rsidRPr="00CE67BE" w:rsidRDefault="002C5A8B" w:rsidP="002C5A8B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CE67BE">
        <w:tab/>
      </w:r>
      <w:r w:rsidRPr="00CE67BE">
        <w:tab/>
      </w:r>
      <w:r w:rsidRPr="00CE67BE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</m:oMath>
    </w:p>
    <w:p w14:paraId="0E6F3C92" w14:textId="535B15A7" w:rsidR="002C5A8B" w:rsidRDefault="002C5A8B" w:rsidP="002C5A8B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Die Konzentrationen der Säure kann mit der folgenden Gleichung berec</w:t>
      </w:r>
      <w:r>
        <w:t>h</w:t>
      </w:r>
      <w:r>
        <w:t>net werden</w:t>
      </w:r>
      <w:r w:rsidR="00EA24D4" w:rsidRPr="00EA24D4">
        <w:t xml:space="preserve"> </w:t>
      </w:r>
      <w:r w:rsidR="00EA24D4">
        <w:t>In der Berechnung ist zu beachten, dass die Citrat-Ionen dre</w:t>
      </w:r>
      <w:r w:rsidR="00EA24D4">
        <w:t>i</w:t>
      </w:r>
      <w:r w:rsidR="00EA24D4">
        <w:t>fach dissoziiert vorliegen und dass dadurch drei OH</w:t>
      </w:r>
      <w:r w:rsidR="00EA24D4" w:rsidRPr="002C5A8B">
        <w:rPr>
          <w:vertAlign w:val="superscript"/>
        </w:rPr>
        <w:t>-</w:t>
      </w:r>
      <w:r w:rsidR="00EA24D4">
        <w:t xml:space="preserve">-Ionen ein Citrat-Ion </w:t>
      </w:r>
      <w:proofErr w:type="gramStart"/>
      <w:r w:rsidR="00EA24D4">
        <w:t>umsetzen.</w:t>
      </w:r>
      <w:r>
        <w:t>:</w:t>
      </w:r>
      <w:proofErr w:type="gramEnd"/>
    </w:p>
    <w:p w14:paraId="4BFBFB33" w14:textId="45E70272" w:rsidR="002C5A8B" w:rsidRPr="00EA24D4" w:rsidRDefault="00EA24D4" w:rsidP="00EA24D4">
      <w:pPr>
        <w:tabs>
          <w:tab w:val="left" w:pos="1701"/>
          <w:tab w:val="left" w:pos="1985"/>
        </w:tabs>
        <w:ind w:left="2124" w:hanging="2124"/>
      </w:pPr>
      <w:r w:rsidRPr="00EA24D4">
        <w:tab/>
      </w:r>
      <w:r w:rsidRPr="00EA24D4">
        <w:tab/>
      </w:r>
      <w:r w:rsidRPr="00EA24D4">
        <w:tab/>
        <w:t>Zitronensaft:</w:t>
      </w:r>
      <w:r w:rsidR="002C5A8B" w:rsidRPr="00EA24D4">
        <w:rPr>
          <w:rFonts w:eastAsiaTheme="minorEastAsia"/>
          <w:sz w:val="20"/>
        </w:rPr>
        <w:tab/>
      </w:r>
      <m:oMath>
        <m:r>
          <m:rPr>
            <m:sty m:val="p"/>
          </m:rPr>
          <w:rPr>
            <w:rFonts w:ascii="Cambria Math" w:hAnsi="Cambria Math"/>
            <w:sz w:val="20"/>
          </w:rPr>
          <m:t>c</m:t>
        </m:r>
        <m:d>
          <m:dPr>
            <m:ctrlPr>
              <w:rPr>
                <w:rFonts w:ascii="Cambria Math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c(</m:t>
            </m:r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</w:rPr>
              <m:t>)∙V(</m:t>
            </m:r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V</m:t>
            </m:r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+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0,1</m:t>
            </m:r>
            <m:f>
              <m:fPr>
                <m:ctrlPr>
                  <w:rPr>
                    <w:rFonts w:ascii="Cambria Math" w:hAnsi="Cambria Math"/>
                    <w:sz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mol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0"/>
              </w:rPr>
              <m:t>∙89,4 mL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15 mL</m:t>
            </m:r>
          </m:den>
        </m:f>
        <m:r>
          <m:rPr>
            <m:sty m:val="p"/>
          </m:rP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0,6 mol/L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0"/>
          </w:rPr>
          <m:t>=0,2 mol/L</m:t>
        </m:r>
      </m:oMath>
    </w:p>
    <w:p w14:paraId="28492830" w14:textId="6B83F6AF" w:rsidR="00EA24D4" w:rsidRPr="00EA24D4" w:rsidRDefault="00EA24D4" w:rsidP="00EA24D4">
      <w:pPr>
        <w:tabs>
          <w:tab w:val="left" w:pos="1701"/>
          <w:tab w:val="left" w:pos="1985"/>
        </w:tabs>
        <w:ind w:left="2124" w:hanging="2124"/>
      </w:pPr>
      <w:r w:rsidRPr="00EA24D4">
        <w:tab/>
      </w:r>
      <w:r w:rsidRPr="00EA24D4">
        <w:tab/>
      </w:r>
      <w:r w:rsidRPr="00EA24D4">
        <w:tab/>
        <w:t>Essigsäure:</w:t>
      </w:r>
      <w:r w:rsidRPr="00EA24D4">
        <w:rPr>
          <w:rFonts w:eastAsiaTheme="minorEastAsia"/>
          <w:sz w:val="20"/>
        </w:rPr>
        <w:tab/>
      </w:r>
      <m:oMath>
        <m:r>
          <m:rPr>
            <m:sty m:val="p"/>
          </m:rPr>
          <w:rPr>
            <w:rFonts w:ascii="Cambria Math" w:hAnsi="Cambria Math"/>
            <w:sz w:val="20"/>
          </w:rPr>
          <m:t>c</m:t>
        </m:r>
        <m:d>
          <m:dPr>
            <m:ctrlPr>
              <w:rPr>
                <w:rFonts w:ascii="Cambria Math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c(</m:t>
            </m:r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</w:rPr>
              <m:t>)∙V(</m:t>
            </m:r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V</m:t>
            </m:r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+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0,1</m:t>
            </m:r>
            <m:f>
              <m:fPr>
                <m:ctrlPr>
                  <w:rPr>
                    <w:rFonts w:ascii="Cambria Math" w:hAnsi="Cambria Math"/>
                    <w:sz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mol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0"/>
              </w:rPr>
              <m:t>∙22 mL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15 mL</m:t>
            </m:r>
          </m:den>
        </m:f>
        <m:r>
          <m:rPr>
            <m:sty m:val="p"/>
          </m:rPr>
          <w:rPr>
            <w:rFonts w:ascii="Cambria Math" w:hAnsi="Cambria Math"/>
            <w:sz w:val="20"/>
          </w:rPr>
          <m:t>=0,15 mol/L</m:t>
        </m:r>
      </m:oMath>
    </w:p>
    <w:p w14:paraId="4ECC3CAC" w14:textId="4EF5428F" w:rsidR="009B42DC" w:rsidRDefault="009B42DC" w:rsidP="009B42DC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 xml:space="preserve">Die Entsorgung erfolgt im </w:t>
      </w:r>
      <w:r w:rsidR="00D108DC">
        <w:t>Säure-Base-Behälter</w:t>
      </w:r>
      <w:r>
        <w:t xml:space="preserve">. </w:t>
      </w:r>
    </w:p>
    <w:p w14:paraId="707562F5" w14:textId="6D70F6DA" w:rsidR="00987C4A" w:rsidRDefault="009B42DC" w:rsidP="00987C4A">
      <w:pPr>
        <w:pStyle w:val="Literaturverzeichnis"/>
        <w:ind w:left="2124" w:hanging="2124"/>
        <w:rPr>
          <w:noProof/>
        </w:rPr>
      </w:pPr>
      <w:r w:rsidRPr="00987C4A">
        <w:t>Literatur:</w:t>
      </w:r>
      <w:r w:rsidR="00987C4A" w:rsidRPr="00987C4A">
        <w:tab/>
      </w:r>
      <w:r w:rsidR="00987C4A" w:rsidRPr="00987C4A">
        <w:rPr>
          <w:noProof/>
        </w:rPr>
        <w:t xml:space="preserve">Demuth, R., Parchmann, I., Ralle, B., &amp; Schöttle, M. (2010). </w:t>
      </w:r>
      <w:r w:rsidR="00987C4A" w:rsidRPr="00987C4A">
        <w:rPr>
          <w:i/>
          <w:iCs/>
          <w:noProof/>
        </w:rPr>
        <w:t>Chemie im</w:t>
      </w:r>
      <w:r w:rsidR="00987C4A">
        <w:rPr>
          <w:i/>
          <w:iCs/>
          <w:noProof/>
        </w:rPr>
        <w:t xml:space="preserve"> Kontext - Sekundarstufe I - Säuren und Laugen - nicht nur ätzend.</w:t>
      </w:r>
      <w:r w:rsidR="00987C4A">
        <w:rPr>
          <w:noProof/>
        </w:rPr>
        <w:t xml:space="preserve"> Berlin: Cornelsen Verlag.</w:t>
      </w:r>
    </w:p>
    <w:p w14:paraId="4CF7E6C8" w14:textId="2D354A70" w:rsidR="00F74A95" w:rsidRPr="00987C4A" w:rsidRDefault="00F74A95" w:rsidP="00987C4A">
      <w:pPr>
        <w:spacing w:line="276" w:lineRule="auto"/>
        <w:jc w:val="left"/>
      </w:pPr>
    </w:p>
    <w:sectPr w:rsidR="00F74A95" w:rsidRPr="00987C4A" w:rsidSect="005B0270">
      <w:headerReference w:type="default" r:id="rId31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7BD63" w14:textId="77777777" w:rsidR="002C4A75" w:rsidRDefault="002C4A75" w:rsidP="0086227B">
      <w:pPr>
        <w:spacing w:after="0" w:line="240" w:lineRule="auto"/>
      </w:pPr>
      <w:r>
        <w:separator/>
      </w:r>
    </w:p>
  </w:endnote>
  <w:endnote w:type="continuationSeparator" w:id="0">
    <w:p w14:paraId="2077C26F" w14:textId="77777777" w:rsidR="002C4A75" w:rsidRDefault="002C4A75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F12A5" w14:textId="77777777" w:rsidR="005B0270" w:rsidRDefault="005B027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227D1" w14:textId="77777777" w:rsidR="005B0270" w:rsidRDefault="005B027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2A9D5" w14:textId="77777777" w:rsidR="005B0270" w:rsidRDefault="005B02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3607A" w14:textId="77777777" w:rsidR="002C4A75" w:rsidRDefault="002C4A75" w:rsidP="0086227B">
      <w:pPr>
        <w:spacing w:after="0" w:line="240" w:lineRule="auto"/>
      </w:pPr>
      <w:r>
        <w:separator/>
      </w:r>
    </w:p>
  </w:footnote>
  <w:footnote w:type="continuationSeparator" w:id="0">
    <w:p w14:paraId="19E65137" w14:textId="77777777" w:rsidR="002C4A75" w:rsidRDefault="002C4A75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FAACE" w14:textId="77777777" w:rsidR="005B0270" w:rsidRDefault="005B02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1DA34" w14:textId="60645B70" w:rsidR="006A0F35" w:rsidRPr="005B0270" w:rsidRDefault="006A0F35" w:rsidP="005B027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8F28E" w14:textId="77777777" w:rsidR="005B0270" w:rsidRDefault="005B0270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EndPr/>
    <w:sdtContent>
      <w:p w14:paraId="6DBDA01C" w14:textId="77777777" w:rsidR="005B0270" w:rsidRPr="0080101C" w:rsidRDefault="00C74AF1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F14073" w:rsidRPr="00F14073">
            <w:rPr>
              <w:b/>
              <w:bCs/>
              <w:noProof/>
              <w:sz w:val="20"/>
            </w:rPr>
            <w:t>1</w:t>
          </w:r>
        </w:fldSimple>
        <w:r w:rsidR="005B0270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F14073">
            <w:rPr>
              <w:noProof/>
            </w:rPr>
            <w:t>Weitere Lehrerversuche</w:t>
          </w:r>
        </w:fldSimple>
        <w:r w:rsidR="005B0270" w:rsidRPr="0080101C">
          <w:rPr>
            <w:rFonts w:asciiTheme="majorHAnsi" w:hAnsiTheme="majorHAnsi"/>
            <w:sz w:val="20"/>
            <w:szCs w:val="20"/>
          </w:rPr>
          <w:tab/>
        </w:r>
        <w:r w:rsidR="005B0270" w:rsidRPr="0080101C">
          <w:rPr>
            <w:rFonts w:asciiTheme="majorHAnsi" w:hAnsiTheme="majorHAnsi"/>
            <w:sz w:val="20"/>
            <w:szCs w:val="20"/>
          </w:rPr>
          <w:tab/>
        </w:r>
        <w:r w:rsidR="005B0270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1EB43647" w14:textId="575E7D98" w:rsidR="005B0270" w:rsidRPr="0080101C" w:rsidRDefault="00264BAF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81E9C3" wp14:editId="36A79DD3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5080" t="10160" r="13970" b="825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.35pt;margin-top:3.05pt;width:462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mPKAIAAEc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7B"/>
    <w:rsid w:val="00007E3F"/>
    <w:rsid w:val="00011800"/>
    <w:rsid w:val="000137A3"/>
    <w:rsid w:val="00014E7D"/>
    <w:rsid w:val="00022871"/>
    <w:rsid w:val="000262AC"/>
    <w:rsid w:val="00041562"/>
    <w:rsid w:val="00056798"/>
    <w:rsid w:val="0006287D"/>
    <w:rsid w:val="0006684E"/>
    <w:rsid w:val="00066DE1"/>
    <w:rsid w:val="00067AEC"/>
    <w:rsid w:val="00071E5A"/>
    <w:rsid w:val="00072812"/>
    <w:rsid w:val="00074A34"/>
    <w:rsid w:val="0007729E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0F75EE"/>
    <w:rsid w:val="001022B4"/>
    <w:rsid w:val="00116746"/>
    <w:rsid w:val="0012481E"/>
    <w:rsid w:val="00125CEA"/>
    <w:rsid w:val="0013621E"/>
    <w:rsid w:val="00153EA8"/>
    <w:rsid w:val="00157F3D"/>
    <w:rsid w:val="001A7524"/>
    <w:rsid w:val="001B46E0"/>
    <w:rsid w:val="001C5EFC"/>
    <w:rsid w:val="00206D6B"/>
    <w:rsid w:val="00216E3C"/>
    <w:rsid w:val="0023241F"/>
    <w:rsid w:val="002347FE"/>
    <w:rsid w:val="002375EF"/>
    <w:rsid w:val="00254F3F"/>
    <w:rsid w:val="00264BAF"/>
    <w:rsid w:val="00270289"/>
    <w:rsid w:val="0028080E"/>
    <w:rsid w:val="0028646F"/>
    <w:rsid w:val="002944CF"/>
    <w:rsid w:val="002A716F"/>
    <w:rsid w:val="002A7855"/>
    <w:rsid w:val="002B0B14"/>
    <w:rsid w:val="002C4A75"/>
    <w:rsid w:val="002C5A8B"/>
    <w:rsid w:val="002E0F34"/>
    <w:rsid w:val="002E2DD3"/>
    <w:rsid w:val="002E38A0"/>
    <w:rsid w:val="002E5FCC"/>
    <w:rsid w:val="002F25D2"/>
    <w:rsid w:val="002F38EE"/>
    <w:rsid w:val="0033677B"/>
    <w:rsid w:val="00336B3B"/>
    <w:rsid w:val="00337B69"/>
    <w:rsid w:val="00344BB7"/>
    <w:rsid w:val="00345293"/>
    <w:rsid w:val="00345F54"/>
    <w:rsid w:val="0038284A"/>
    <w:rsid w:val="003837C2"/>
    <w:rsid w:val="00384682"/>
    <w:rsid w:val="003B49C6"/>
    <w:rsid w:val="003C5747"/>
    <w:rsid w:val="003D529E"/>
    <w:rsid w:val="003E69AB"/>
    <w:rsid w:val="00401750"/>
    <w:rsid w:val="004102B8"/>
    <w:rsid w:val="0041565C"/>
    <w:rsid w:val="00434D4E"/>
    <w:rsid w:val="00434F30"/>
    <w:rsid w:val="004417FB"/>
    <w:rsid w:val="00442EB1"/>
    <w:rsid w:val="00486C9F"/>
    <w:rsid w:val="0049087A"/>
    <w:rsid w:val="00491B4D"/>
    <w:rsid w:val="004944F3"/>
    <w:rsid w:val="004B200E"/>
    <w:rsid w:val="004B3E0E"/>
    <w:rsid w:val="004C64A6"/>
    <w:rsid w:val="004D2994"/>
    <w:rsid w:val="004D321A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650D4"/>
    <w:rsid w:val="005669B2"/>
    <w:rsid w:val="00573704"/>
    <w:rsid w:val="00574063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E1939"/>
    <w:rsid w:val="005E3970"/>
    <w:rsid w:val="005F2176"/>
    <w:rsid w:val="00626874"/>
    <w:rsid w:val="00631F0F"/>
    <w:rsid w:val="00637239"/>
    <w:rsid w:val="00654117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E0DBF"/>
    <w:rsid w:val="006E32AF"/>
    <w:rsid w:val="006E451C"/>
    <w:rsid w:val="006F4715"/>
    <w:rsid w:val="00707392"/>
    <w:rsid w:val="0072123D"/>
    <w:rsid w:val="00746773"/>
    <w:rsid w:val="00775EEC"/>
    <w:rsid w:val="0078071E"/>
    <w:rsid w:val="00790D3B"/>
    <w:rsid w:val="007A7FA8"/>
    <w:rsid w:val="007E586C"/>
    <w:rsid w:val="007E7412"/>
    <w:rsid w:val="007F2348"/>
    <w:rsid w:val="00801678"/>
    <w:rsid w:val="008042F5"/>
    <w:rsid w:val="00815FB9"/>
    <w:rsid w:val="0082230A"/>
    <w:rsid w:val="008319DF"/>
    <w:rsid w:val="00837114"/>
    <w:rsid w:val="0086227B"/>
    <w:rsid w:val="008664DF"/>
    <w:rsid w:val="00875E5B"/>
    <w:rsid w:val="0088451A"/>
    <w:rsid w:val="00886EE0"/>
    <w:rsid w:val="00896D5A"/>
    <w:rsid w:val="008A1924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13D97"/>
    <w:rsid w:val="00936F75"/>
    <w:rsid w:val="0094350A"/>
    <w:rsid w:val="00946F4E"/>
    <w:rsid w:val="00954DC8"/>
    <w:rsid w:val="00961647"/>
    <w:rsid w:val="00971E91"/>
    <w:rsid w:val="009735A3"/>
    <w:rsid w:val="00973F3F"/>
    <w:rsid w:val="009775D7"/>
    <w:rsid w:val="00977ED8"/>
    <w:rsid w:val="0098168E"/>
    <w:rsid w:val="00984EF9"/>
    <w:rsid w:val="00987C4A"/>
    <w:rsid w:val="00993407"/>
    <w:rsid w:val="00994634"/>
    <w:rsid w:val="009B0D3F"/>
    <w:rsid w:val="009B42DC"/>
    <w:rsid w:val="009C6F21"/>
    <w:rsid w:val="009C7687"/>
    <w:rsid w:val="009D150C"/>
    <w:rsid w:val="009D4BD9"/>
    <w:rsid w:val="009F0667"/>
    <w:rsid w:val="009F0CE9"/>
    <w:rsid w:val="009F5A39"/>
    <w:rsid w:val="009F61D4"/>
    <w:rsid w:val="00A006C3"/>
    <w:rsid w:val="00A012CE"/>
    <w:rsid w:val="00A0582F"/>
    <w:rsid w:val="00A05C2F"/>
    <w:rsid w:val="00A2136F"/>
    <w:rsid w:val="00A2301A"/>
    <w:rsid w:val="00A61671"/>
    <w:rsid w:val="00A7439F"/>
    <w:rsid w:val="00A75F0A"/>
    <w:rsid w:val="00A778C9"/>
    <w:rsid w:val="00A90BD6"/>
    <w:rsid w:val="00A9233D"/>
    <w:rsid w:val="00A96F52"/>
    <w:rsid w:val="00AA604B"/>
    <w:rsid w:val="00AA612B"/>
    <w:rsid w:val="00AD0C24"/>
    <w:rsid w:val="00AD7D1F"/>
    <w:rsid w:val="00AE1230"/>
    <w:rsid w:val="00B02829"/>
    <w:rsid w:val="00B1645B"/>
    <w:rsid w:val="00B21F20"/>
    <w:rsid w:val="00B433C0"/>
    <w:rsid w:val="00B51643"/>
    <w:rsid w:val="00B51B39"/>
    <w:rsid w:val="00B571E6"/>
    <w:rsid w:val="00B619BB"/>
    <w:rsid w:val="00B901F6"/>
    <w:rsid w:val="00B93BBF"/>
    <w:rsid w:val="00B96C3C"/>
    <w:rsid w:val="00BA0E9B"/>
    <w:rsid w:val="00BC4F56"/>
    <w:rsid w:val="00BC6B1D"/>
    <w:rsid w:val="00BD1D31"/>
    <w:rsid w:val="00BF2E3A"/>
    <w:rsid w:val="00BF7B08"/>
    <w:rsid w:val="00C0569E"/>
    <w:rsid w:val="00C10E22"/>
    <w:rsid w:val="00C12650"/>
    <w:rsid w:val="00C23319"/>
    <w:rsid w:val="00C364B2"/>
    <w:rsid w:val="00C428C7"/>
    <w:rsid w:val="00C460EB"/>
    <w:rsid w:val="00C51D56"/>
    <w:rsid w:val="00C66D91"/>
    <w:rsid w:val="00C74AF1"/>
    <w:rsid w:val="00CA6231"/>
    <w:rsid w:val="00CB2161"/>
    <w:rsid w:val="00CE1F14"/>
    <w:rsid w:val="00CF0B61"/>
    <w:rsid w:val="00CF2506"/>
    <w:rsid w:val="00CF79FE"/>
    <w:rsid w:val="00D069A2"/>
    <w:rsid w:val="00D108DC"/>
    <w:rsid w:val="00D1194E"/>
    <w:rsid w:val="00D407E8"/>
    <w:rsid w:val="00D54590"/>
    <w:rsid w:val="00D60010"/>
    <w:rsid w:val="00D76EE6"/>
    <w:rsid w:val="00D76F6F"/>
    <w:rsid w:val="00D90F31"/>
    <w:rsid w:val="00D92822"/>
    <w:rsid w:val="00D93D47"/>
    <w:rsid w:val="00DA6545"/>
    <w:rsid w:val="00DC0309"/>
    <w:rsid w:val="00DE18A7"/>
    <w:rsid w:val="00E17CDE"/>
    <w:rsid w:val="00E22516"/>
    <w:rsid w:val="00E22D23"/>
    <w:rsid w:val="00E24354"/>
    <w:rsid w:val="00E26180"/>
    <w:rsid w:val="00E51037"/>
    <w:rsid w:val="00E54798"/>
    <w:rsid w:val="00E84393"/>
    <w:rsid w:val="00E866D8"/>
    <w:rsid w:val="00E91F32"/>
    <w:rsid w:val="00E930F6"/>
    <w:rsid w:val="00E96AD6"/>
    <w:rsid w:val="00EA24D4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14073"/>
    <w:rsid w:val="00F17765"/>
    <w:rsid w:val="00F17797"/>
    <w:rsid w:val="00F2604C"/>
    <w:rsid w:val="00F26486"/>
    <w:rsid w:val="00F31EBF"/>
    <w:rsid w:val="00F3487A"/>
    <w:rsid w:val="00F74A95"/>
    <w:rsid w:val="00F849B0"/>
    <w:rsid w:val="00FA486B"/>
    <w:rsid w:val="00FA58C5"/>
    <w:rsid w:val="00FB3D74"/>
    <w:rsid w:val="00FC02BE"/>
    <w:rsid w:val="00FD644E"/>
    <w:rsid w:val="00FE54D8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0B4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image" Target="media/image8.jpeg"/><Relationship Id="rId27" Type="http://schemas.openxmlformats.org/officeDocument/2006/relationships/image" Target="media/image13.png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2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3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4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5</b:RefOrder>
  </b:Source>
  <b:Source>
    <b:Tag>Uni15</b:Tag>
    <b:SourceType>InternetSite</b:SourceType>
    <b:Guid>{2E0DAF32-2D72-457B-A827-2EB9D4DCBB78}</b:Guid>
    <b:Title>Universität Bochum</b:Title>
    <b:YearAccessed>2015</b:YearAccessed>
    <b:MonthAccessed>August</b:MonthAccessed>
    <b:DayAccessed>9</b:DayAccessed>
    <b:URL>www.ruhr-uni-bochum.de/quanti-praktikum/versuche/beschreibungen/v253_nach_fajans.pdf</b:URL>
    <b:RefOrder>6</b:RefOrder>
  </b:Source>
  <b:Source>
    <b:Tag>Lic15</b:Tag>
    <b:SourceType>InternetSite</b:SourceType>
    <b:Guid>{F7C0FDB6-1027-4653-A5AA-BC8B4B8B1DC6}</b:Guid>
    <b:Author>
      <b:Author>
        <b:NameList>
          <b:Person>
            <b:Last>Lickl</b:Last>
            <b:First>Eleonore</b:First>
          </b:Person>
        </b:NameList>
      </b:Author>
    </b:Author>
    <b:Year>2014/15</b:Year>
    <b:YearAccessed>2015</b:YearAccessed>
    <b:MonthAccessed>August</b:MonthAccessed>
    <b:DayAccessed>9</b:DayAccessed>
    <b:URL>www.lickl.net/doku/fällungsmassanalyse.pdf</b:URL>
    <b:RefOrder>7</b:RefOrder>
  </b:Source>
  <b:Source>
    <b:Tag>Dem10</b:Tag>
    <b:SourceType>Book</b:SourceType>
    <b:Guid>{599A1821-40F6-4F29-BD2D-17909341EDFB}</b:Guid>
    <b:Title>Chemie im Kontext - Sekundarstufe I - Säuren und Laugen - nicht nur ätzend</b:Title>
    <b:Year>2010</b:Year>
    <b:Author>
      <b:Author>
        <b:NameList>
          <b:Person>
            <b:Last>Demuth</b:Last>
            <b:First>R.</b:First>
          </b:Person>
          <b:Person>
            <b:Last>Parchmann</b:Last>
            <b:First>I</b:First>
          </b:Person>
          <b:Person>
            <b:Last>Ralle</b:Last>
            <b:First>B</b:First>
          </b:Person>
          <b:Person>
            <b:Last>Schöttle</b:Last>
            <b:First>M.</b:First>
          </b:Person>
        </b:NameList>
      </b:Author>
    </b:Author>
    <b:City>Berlin</b:City>
    <b:Publisher>Cornelsen Verlag</b:Publisher>
    <b:RefOrder>8</b:RefOrder>
  </b:Source>
</b:Sources>
</file>

<file path=customXml/itemProps1.xml><?xml version="1.0" encoding="utf-8"?>
<ds:datastoreItem xmlns:ds="http://schemas.openxmlformats.org/officeDocument/2006/customXml" ds:itemID="{4D779D15-E9C1-492E-B8CC-ECD612B3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Jans Manjali</cp:lastModifiedBy>
  <cp:revision>7</cp:revision>
  <cp:lastPrinted>2015-07-27T15:01:00Z</cp:lastPrinted>
  <dcterms:created xsi:type="dcterms:W3CDTF">2015-08-11T06:50:00Z</dcterms:created>
  <dcterms:modified xsi:type="dcterms:W3CDTF">2015-08-20T08:36:00Z</dcterms:modified>
</cp:coreProperties>
</file>