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4A" w:rsidRDefault="00D25B4A" w:rsidP="00D25B4A">
      <w:pPr>
        <w:pStyle w:val="berschrift2"/>
      </w:pPr>
      <w:bookmarkStart w:id="0" w:name="_Toc427831608"/>
      <w:r>
        <w:t xml:space="preserve">V2 - Schmelzflusselektrolyse von </w:t>
      </w:r>
      <w:proofErr w:type="spellStart"/>
      <w:r>
        <w:t>Lithiumchlorid</w:t>
      </w:r>
      <w:bookmarkEnd w:id="0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25B4A" w:rsidRPr="009C5E28" w:rsidTr="006C66A5">
        <w:tc>
          <w:tcPr>
            <w:tcW w:w="9322" w:type="dxa"/>
            <w:gridSpan w:val="9"/>
            <w:shd w:val="clear" w:color="auto" w:fill="4F81BD"/>
            <w:vAlign w:val="center"/>
          </w:tcPr>
          <w:p w:rsidR="00D25B4A" w:rsidRPr="00F31EBF" w:rsidRDefault="00D25B4A" w:rsidP="006C66A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25B4A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20"/>
              </w:rPr>
              <w:t>Lithiumchlorid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302 315 319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302+352 305+351+338</w:t>
            </w:r>
          </w:p>
        </w:tc>
      </w:tr>
      <w:tr w:rsidR="00D25B4A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Default="00D25B4A" w:rsidP="006C66A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25B4A" w:rsidRPr="009C5E28" w:rsidTr="006C66A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izen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5B4A" w:rsidRPr="009C5E28" w:rsidRDefault="00D25B4A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B4A" w:rsidRDefault="00D25B4A" w:rsidP="00D25B4A"/>
    <w:p w:rsidR="00D25B4A" w:rsidRPr="00340A7E" w:rsidRDefault="00D25B4A" w:rsidP="00D25B4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Dreifuß mit Tondreieck, quadratischer Tiegel, Bunsenbrenner, 2 Kohl</w:t>
      </w:r>
      <w:r>
        <w:t>e</w:t>
      </w:r>
      <w:r>
        <w:t>elektroden, 2 Krokodilklemmen, Kabel, Spannungsquelle, Multimeter</w:t>
      </w:r>
    </w:p>
    <w:p w:rsidR="00D25B4A" w:rsidRPr="00ED07C2" w:rsidRDefault="00D25B4A" w:rsidP="00D25B4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Lithiumchlorid</w:t>
      </w:r>
      <w:proofErr w:type="spellEnd"/>
      <w:r>
        <w:t>, Kaliumchlorid</w:t>
      </w:r>
    </w:p>
    <w:p w:rsidR="00D25B4A" w:rsidRDefault="00D25B4A" w:rsidP="00D25B4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</w:t>
      </w:r>
      <w:proofErr w:type="spellStart"/>
      <w:r>
        <w:t>Lithiumchlorid</w:t>
      </w:r>
      <w:proofErr w:type="spellEnd"/>
      <w:r>
        <w:t xml:space="preserve"> wird mit dem Kaliumchlorid vermischt. Durch die Zugabe des zweiten </w:t>
      </w:r>
      <w:proofErr w:type="spellStart"/>
      <w:r>
        <w:t>Salzes</w:t>
      </w:r>
      <w:proofErr w:type="spellEnd"/>
      <w:r>
        <w:t xml:space="preserve"> wird eine Herabsetzung des Schmelzpunktes b</w:t>
      </w:r>
      <w:r>
        <w:t>e</w:t>
      </w:r>
      <w:r>
        <w:t xml:space="preserve">wirkt. Diese Mischung heißt </w:t>
      </w:r>
      <w:proofErr w:type="spellStart"/>
      <w:r>
        <w:t>eutektisches</w:t>
      </w:r>
      <w:proofErr w:type="spellEnd"/>
      <w:r>
        <w:t xml:space="preserve"> Gemisch. Mit dem Gasbrenner wird erhitzt bis das Gemisch geschmolzen ist. Mit der Stromquelle werden etwa 20 V eingestellt. </w:t>
      </w:r>
    </w:p>
    <w:p w:rsidR="00D25B4A" w:rsidRDefault="00D25B4A" w:rsidP="00D25B4A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5033540" cy="2838203"/>
            <wp:effectExtent l="0" t="0" r="0" b="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G_836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3540" cy="283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5B4A" w:rsidRDefault="00D25B4A" w:rsidP="00D25B4A">
      <w:pPr>
        <w:pStyle w:val="Beschriftung"/>
        <w:jc w:val="center"/>
        <w:rPr>
          <w:noProof/>
        </w:rPr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Versuchsaufbau der Schmelzflusselektrolyse.</w:t>
      </w:r>
    </w:p>
    <w:p w:rsidR="00D25B4A" w:rsidRPr="0028021B" w:rsidRDefault="00D25B4A" w:rsidP="00D25B4A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An der Anode ist eine sehr geringe Gasbildung zu erkennen. An der K</w:t>
      </w:r>
      <w:r>
        <w:t>a</w:t>
      </w:r>
      <w:r>
        <w:t xml:space="preserve">thode bilden sich geringe Mengen eines dunklen Feststoffes.  </w:t>
      </w:r>
    </w:p>
    <w:p w:rsidR="00D25B4A" w:rsidRDefault="00D25B4A" w:rsidP="00D25B4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 xml:space="preserve">An der Anode hat sich vermutlich Chlorgas gebildet, jedoch in so geringen Mengen, dass </w:t>
      </w:r>
      <w:r w:rsidRPr="006D45E5">
        <w:t xml:space="preserve">es nicht mit </w:t>
      </w:r>
      <w:proofErr w:type="spellStart"/>
      <w:r w:rsidRPr="006D45E5">
        <w:t>Iod</w:t>
      </w:r>
      <w:proofErr w:type="spellEnd"/>
      <w:r w:rsidRPr="006D45E5">
        <w:noBreakHyphen/>
        <w:t>Stärke</w:t>
      </w:r>
      <w:r w:rsidRPr="006D45E5">
        <w:noBreakHyphen/>
        <w:t xml:space="preserve">Papier nachgewiesen </w:t>
      </w:r>
      <w:r>
        <w:t xml:space="preserve">werden </w:t>
      </w:r>
      <w:r>
        <w:lastRenderedPageBreak/>
        <w:t>kon</w:t>
      </w:r>
      <w:r>
        <w:t>n</w:t>
      </w:r>
      <w:r>
        <w:t xml:space="preserve">te. Der Feststoff könnte Lithium sein. Durch Zugabe von Wasser wurde keine Reaktion hervorgerufen.  </w:t>
      </w:r>
    </w:p>
    <w:p w:rsidR="00D25B4A" w:rsidRDefault="00D25B4A" w:rsidP="00D25B4A">
      <w:pPr>
        <w:ind w:left="2124" w:hanging="2124"/>
        <w:jc w:val="left"/>
      </w:pPr>
      <w:r>
        <w:t>Entsorgung:</w:t>
      </w:r>
      <w:r>
        <w:tab/>
        <w:t xml:space="preserve">Die Entsorgung erfolgt im Ausguss. </w:t>
      </w:r>
    </w:p>
    <w:p w:rsidR="00D25B4A" w:rsidRDefault="00D25B4A" w:rsidP="00D25B4A">
      <w:pPr>
        <w:ind w:left="2124" w:hanging="2124"/>
        <w:jc w:val="left"/>
      </w:pPr>
      <w:r>
        <w:t xml:space="preserve">Literatur: </w:t>
      </w:r>
      <w:r>
        <w:tab/>
      </w:r>
      <w:proofErr w:type="spellStart"/>
      <w:r w:rsidRPr="00AA136C">
        <w:t>Keune</w:t>
      </w:r>
      <w:proofErr w:type="spellEnd"/>
      <w:r w:rsidRPr="00AA136C">
        <w:t xml:space="preserve">, H., &amp; </w:t>
      </w:r>
      <w:proofErr w:type="spellStart"/>
      <w:r w:rsidRPr="00AA136C">
        <w:t>Böhland</w:t>
      </w:r>
      <w:proofErr w:type="spellEnd"/>
      <w:r w:rsidRPr="00AA136C">
        <w:t>, H. (2002). Chemische Schulexperimente: Band 3: Allgemeine und analytische Chemie (1. Auflage)</w:t>
      </w:r>
      <w:r>
        <w:t>. S. 227</w:t>
      </w:r>
      <w:r w:rsidRPr="00AA136C">
        <w:t>: Volk &amp; Wissen.</w:t>
      </w:r>
    </w:p>
    <w:p w:rsidR="00D25B4A" w:rsidRDefault="00D25B4A" w:rsidP="00D25B4A">
      <w:pPr>
        <w:jc w:val="left"/>
        <w:rPr>
          <w:rFonts w:asciiTheme="majorHAnsi" w:eastAsiaTheme="majorEastAsia" w:hAnsiTheme="majorHAnsi" w:cstheme="majorBidi"/>
          <w:b/>
          <w:bCs/>
          <w:szCs w:val="26"/>
        </w:rPr>
      </w:pPr>
    </w:p>
    <w:p w:rsidR="005521F6" w:rsidRDefault="005521F6"/>
    <w:sectPr w:rsidR="005521F6" w:rsidSect="005B0270">
      <w:headerReference w:type="default" r:id="rId1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4A" w:rsidRDefault="00D25B4A" w:rsidP="00D25B4A">
      <w:pPr>
        <w:spacing w:after="0" w:line="240" w:lineRule="auto"/>
      </w:pPr>
      <w:r>
        <w:separator/>
      </w:r>
    </w:p>
  </w:endnote>
  <w:endnote w:type="continuationSeparator" w:id="0">
    <w:p w:rsidR="00D25B4A" w:rsidRDefault="00D25B4A" w:rsidP="00D2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4A" w:rsidRDefault="00D25B4A" w:rsidP="00D25B4A">
      <w:pPr>
        <w:spacing w:after="0" w:line="240" w:lineRule="auto"/>
      </w:pPr>
      <w:r>
        <w:separator/>
      </w:r>
    </w:p>
  </w:footnote>
  <w:footnote w:type="continuationSeparator" w:id="0">
    <w:p w:rsidR="00D25B4A" w:rsidRDefault="00D25B4A" w:rsidP="00D2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34244C" w:rsidRPr="0080101C" w:rsidRDefault="00D25B4A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34244C" w:rsidRPr="0080101C" w:rsidRDefault="00D25B4A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5" type="#_x0000_t32" style="position:absolute;left:0;text-align:left;margin-left:-3.35pt;margin-top:3.05pt;width:462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5B4A"/>
    <w:rsid w:val="005521F6"/>
    <w:rsid w:val="00D2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5B4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B4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B4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5B4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B4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B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B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B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B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B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B4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B4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5B4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B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25B4A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2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4A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B4A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D2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5B4A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2015-08-26T19:47:00Z</dcterms:created>
  <dcterms:modified xsi:type="dcterms:W3CDTF">2015-08-26T19:47:00Z</dcterms:modified>
</cp:coreProperties>
</file>