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1EE" w:rsidRPr="00453462" w:rsidRDefault="00B130A2" w:rsidP="002521EE">
      <w:pPr>
        <w:pStyle w:val="berschrift1"/>
        <w:numPr>
          <w:ilvl w:val="0"/>
          <w:numId w:val="0"/>
        </w:numPr>
        <w:spacing w:before="0"/>
        <w:ind w:left="432" w:hanging="432"/>
      </w:pPr>
      <w:bookmarkStart w:id="0" w:name="_Toc425843929"/>
      <w:r>
        <w:t>S</w:t>
      </w:r>
      <w:r w:rsidR="002724A2">
        <w:t>V</w:t>
      </w:r>
      <w:r w:rsidR="00984EF9">
        <w:t xml:space="preserve"> –</w:t>
      </w:r>
      <w:bookmarkEnd w:id="0"/>
      <w:r w:rsidR="002521EE">
        <w:t xml:space="preserve"> Nachweis von Iodat in Speisesalz</w:t>
      </w:r>
    </w:p>
    <w:tbl>
      <w:tblPr>
        <w:tblW w:w="9072" w:type="dxa"/>
        <w:tblInd w:w="10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884"/>
      </w:tblGrid>
      <w:tr w:rsidR="002521EE" w:rsidRPr="00B47077" w:rsidTr="00F9750D">
        <w:tc>
          <w:tcPr>
            <w:tcW w:w="9072" w:type="dxa"/>
            <w:gridSpan w:val="9"/>
            <w:shd w:val="clear" w:color="auto" w:fill="4F81BD"/>
            <w:vAlign w:val="center"/>
          </w:tcPr>
          <w:p w:rsidR="002521EE" w:rsidRPr="00B47077" w:rsidRDefault="002521EE" w:rsidP="00F9750D">
            <w:pPr>
              <w:spacing w:after="0"/>
              <w:jc w:val="center"/>
              <w:rPr>
                <w:b/>
                <w:bCs/>
                <w:sz w:val="6"/>
                <w:szCs w:val="6"/>
              </w:rPr>
            </w:pPr>
          </w:p>
          <w:p w:rsidR="002521EE" w:rsidRPr="00B47077" w:rsidRDefault="002521EE" w:rsidP="00F9750D">
            <w:pPr>
              <w:spacing w:after="0"/>
              <w:jc w:val="center"/>
              <w:rPr>
                <w:b/>
                <w:bCs/>
              </w:rPr>
            </w:pPr>
            <w:r w:rsidRPr="00B47077">
              <w:rPr>
                <w:b/>
                <w:bCs/>
              </w:rPr>
              <w:t>Gefahrenstoffe</w:t>
            </w:r>
          </w:p>
        </w:tc>
      </w:tr>
      <w:tr w:rsidR="002521EE" w:rsidRPr="00B47077" w:rsidTr="00F9750D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521EE" w:rsidRPr="00074952" w:rsidRDefault="002521EE" w:rsidP="00F9750D">
            <w:pPr>
              <w:spacing w:after="0" w:line="276" w:lineRule="auto"/>
              <w:jc w:val="center"/>
            </w:pPr>
            <w:r w:rsidRPr="00074952">
              <w:t>Salzsäure</w:t>
            </w:r>
            <w:r>
              <w:t xml:space="preserve"> (</w:t>
            </w:r>
            <w:r w:rsidRPr="004D6C82">
              <w:rPr>
                <w:i/>
                <w:iCs/>
              </w:rPr>
              <w:t>w</w:t>
            </w:r>
            <w:r>
              <w:t> = 10</w:t>
            </w:r>
            <w:r>
              <w:noBreakHyphen/>
              <w:t>25 %)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521EE" w:rsidRPr="00B47077" w:rsidRDefault="002521EE" w:rsidP="00F9750D">
            <w:pPr>
              <w:spacing w:after="0" w:line="276" w:lineRule="auto"/>
              <w:jc w:val="center"/>
            </w:pPr>
            <w:r w:rsidRPr="00B47077">
              <w:t>H: 315-31</w:t>
            </w:r>
            <w:r>
              <w:t>9</w:t>
            </w:r>
            <w:r w:rsidRPr="00B47077">
              <w:t>-3</w:t>
            </w:r>
            <w:r>
              <w:t>35-290</w:t>
            </w:r>
          </w:p>
        </w:tc>
        <w:tc>
          <w:tcPr>
            <w:tcW w:w="286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521EE" w:rsidRPr="00B47077" w:rsidRDefault="002521EE" w:rsidP="00F9750D">
            <w:pPr>
              <w:spacing w:after="0" w:line="276" w:lineRule="auto"/>
              <w:jc w:val="center"/>
            </w:pPr>
            <w:r w:rsidRPr="00B47077">
              <w:t xml:space="preserve">P: </w:t>
            </w:r>
            <w:r>
              <w:t>261-</w:t>
            </w:r>
            <w:hyperlink r:id="rId8" w:anchor="P-S.C3.A4tze" w:tooltip="H- und P-Sätze" w:history="1">
              <w:r w:rsidRPr="00B47077">
                <w:rPr>
                  <w:rStyle w:val="Hyperlink"/>
                  <w:color w:val="auto"/>
                  <w:u w:val="none"/>
                </w:rPr>
                <w:t>280</w:t>
              </w:r>
            </w:hyperlink>
            <w:r w:rsidRPr="00B47077">
              <w:t>-</w:t>
            </w:r>
            <w:r w:rsidRPr="00B47077">
              <w:rPr>
                <w:rFonts w:hAnsi="Times New Roman" w:cs="Times New Roman"/>
              </w:rPr>
              <w:t>​</w:t>
            </w:r>
            <w:r w:rsidRPr="00B47077">
              <w:t>305+338-310</w:t>
            </w:r>
          </w:p>
        </w:tc>
      </w:tr>
      <w:tr w:rsidR="002521EE" w:rsidRPr="00B47077" w:rsidTr="00F9750D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521EE" w:rsidRPr="00B47077" w:rsidRDefault="002521EE" w:rsidP="00F9750D">
            <w:pPr>
              <w:spacing w:after="0"/>
              <w:jc w:val="center"/>
              <w:rPr>
                <w:b/>
                <w:bCs/>
              </w:rPr>
            </w:pPr>
            <w:r w:rsidRPr="00B47077"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79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521EE" w:rsidRPr="00B47077" w:rsidRDefault="002521EE" w:rsidP="00F9750D">
            <w:pPr>
              <w:spacing w:after="0"/>
              <w:jc w:val="center"/>
            </w:pPr>
            <w:r w:rsidRPr="00B47077"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8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521EE" w:rsidRPr="00B47077" w:rsidRDefault="002521EE" w:rsidP="00F9750D">
            <w:pPr>
              <w:spacing w:after="0"/>
              <w:jc w:val="center"/>
            </w:pPr>
            <w:r w:rsidRPr="00B47077"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81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521EE" w:rsidRPr="00B47077" w:rsidRDefault="002521EE" w:rsidP="00F9750D">
            <w:pPr>
              <w:spacing w:after="0"/>
              <w:jc w:val="center"/>
            </w:pPr>
            <w:r w:rsidRPr="00B47077"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82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521EE" w:rsidRPr="00B47077" w:rsidRDefault="002521EE" w:rsidP="00F9750D">
            <w:pPr>
              <w:spacing w:after="0"/>
              <w:jc w:val="center"/>
            </w:pPr>
            <w:r w:rsidRPr="00B47077"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83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521EE" w:rsidRPr="00B47077" w:rsidRDefault="002521EE" w:rsidP="00F9750D">
            <w:pPr>
              <w:spacing w:after="0"/>
              <w:jc w:val="center"/>
            </w:pPr>
            <w:r w:rsidRPr="00B47077"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84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521EE" w:rsidRPr="00B47077" w:rsidRDefault="002521EE" w:rsidP="00F9750D">
            <w:pPr>
              <w:spacing w:after="0"/>
              <w:jc w:val="center"/>
            </w:pPr>
            <w:r w:rsidRPr="00594D40"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8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521EE" w:rsidRPr="00B47077" w:rsidRDefault="002521EE" w:rsidP="00F9750D">
            <w:pPr>
              <w:spacing w:after="0"/>
              <w:jc w:val="center"/>
            </w:pPr>
            <w:r w:rsidRPr="00B47077">
              <w:rPr>
                <w:noProof/>
                <w:lang w:eastAsia="de-DE"/>
              </w:rPr>
              <w:drawing>
                <wp:inline distT="0" distB="0" distL="0" distR="0">
                  <wp:extent cx="511175" cy="511175"/>
                  <wp:effectExtent l="0" t="0" r="0" b="0"/>
                  <wp:docPr id="86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521EE" w:rsidRPr="00B47077" w:rsidRDefault="002521EE" w:rsidP="00F9750D">
            <w:pPr>
              <w:spacing w:after="0"/>
              <w:ind w:left="-74"/>
              <w:jc w:val="center"/>
            </w:pPr>
            <w:r w:rsidRPr="00B47077"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87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21EE" w:rsidRDefault="002521EE" w:rsidP="002521EE">
      <w:pPr>
        <w:tabs>
          <w:tab w:val="left" w:pos="1701"/>
          <w:tab w:val="left" w:pos="1985"/>
        </w:tabs>
        <w:ind w:left="1980" w:hanging="1980"/>
      </w:pPr>
    </w:p>
    <w:p w:rsidR="002521EE" w:rsidRDefault="002521EE" w:rsidP="002521EE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 xml:space="preserve">3 Reagenzgläser, Reagenzglasständer, </w:t>
      </w:r>
      <w:proofErr w:type="spellStart"/>
      <w:r>
        <w:t>Messpipette</w:t>
      </w:r>
      <w:proofErr w:type="spellEnd"/>
      <w:r>
        <w:t xml:space="preserve">, </w:t>
      </w:r>
      <w:proofErr w:type="spellStart"/>
      <w:r>
        <w:t>Peleusball</w:t>
      </w:r>
      <w:proofErr w:type="spellEnd"/>
      <w:r>
        <w:t xml:space="preserve">, </w:t>
      </w:r>
      <w:proofErr w:type="spellStart"/>
      <w:r>
        <w:t>Pasteurpi-petten</w:t>
      </w:r>
      <w:proofErr w:type="spellEnd"/>
      <w:r>
        <w:t xml:space="preserve">, Pipettierhilfe. </w:t>
      </w:r>
    </w:p>
    <w:p w:rsidR="002521EE" w:rsidRPr="00ED07C2" w:rsidRDefault="002521EE" w:rsidP="002521EE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</w:r>
      <w:proofErr w:type="spellStart"/>
      <w:r>
        <w:t>Iodiertes</w:t>
      </w:r>
      <w:proofErr w:type="spellEnd"/>
      <w:r>
        <w:t xml:space="preserve"> Speisesalz, dem. Wasser, Stärkelösung, verd. Salzsäure (</w:t>
      </w:r>
      <w:r w:rsidRPr="004D6C82">
        <w:rPr>
          <w:i/>
          <w:iCs/>
        </w:rPr>
        <w:t>w</w:t>
      </w:r>
      <w:r>
        <w:t> = 10</w:t>
      </w:r>
      <w:r>
        <w:noBreakHyphen/>
        <w:t>25 %), Kaliumiodid.</w:t>
      </w:r>
    </w:p>
    <w:p w:rsidR="002521EE" w:rsidRDefault="002521EE" w:rsidP="002521EE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  <w:t xml:space="preserve">In ein Reagenzglas werden 5 mL einer Speisesalzlösung, in ein weiteres 5 mL einer </w:t>
      </w:r>
      <w:proofErr w:type="spellStart"/>
      <w:r>
        <w:t>Kaliumiodatlösung</w:t>
      </w:r>
      <w:proofErr w:type="spellEnd"/>
      <w:r>
        <w:t xml:space="preserve"> und in ein drittes Reagenzglas 5 mL </w:t>
      </w:r>
      <w:proofErr w:type="spellStart"/>
      <w:r>
        <w:t>demin</w:t>
      </w:r>
      <w:proofErr w:type="spellEnd"/>
      <w:r>
        <w:t xml:space="preserve">. Wasser gegeben. Das Reagenzglas mit Wasser dient hier als Blindprobe, das Reagenzglas mit </w:t>
      </w:r>
      <w:proofErr w:type="spellStart"/>
      <w:r>
        <w:t>Kaliumiodatlösung</w:t>
      </w:r>
      <w:proofErr w:type="spellEnd"/>
      <w:r>
        <w:t xml:space="preserve"> als Vergleichsprobe. Ansc</w:t>
      </w:r>
      <w:r w:rsidR="009434FA">
        <w:t>hließend werden einige Tropfen ein</w:t>
      </w:r>
      <w:r>
        <w:t xml:space="preserve">er </w:t>
      </w:r>
      <w:r w:rsidR="009434FA">
        <w:t xml:space="preserve">zuvor erhitzten und abgekühlten </w:t>
      </w:r>
      <w:r>
        <w:t>Stärkel</w:t>
      </w:r>
      <w:r>
        <w:t>ö</w:t>
      </w:r>
      <w:r>
        <w:t>sung, einige Tropfen verdünnte Salzsäure und eine Spatelspitze Kaliumi</w:t>
      </w:r>
      <w:r>
        <w:t>o</w:t>
      </w:r>
      <w:r>
        <w:t>did hinzugefügt.</w:t>
      </w:r>
    </w:p>
    <w:p w:rsidR="002521EE" w:rsidRDefault="002521EE" w:rsidP="002521EE">
      <w:pPr>
        <w:tabs>
          <w:tab w:val="left" w:pos="1985"/>
        </w:tabs>
        <w:ind w:left="1980" w:hanging="1980"/>
      </w:pPr>
      <w:r>
        <w:t>Beobachtung:</w:t>
      </w:r>
      <w:r>
        <w:tab/>
        <w:t>Es tritt eine Blau</w:t>
      </w:r>
      <w:r w:rsidR="00317C89">
        <w:t>-/Schwarz</w:t>
      </w:r>
      <w:r>
        <w:t xml:space="preserve">färbung der farblosen Speisesalzlösung (siehe Abb. 1, Reagenzglas links) und der farblosen </w:t>
      </w:r>
      <w:proofErr w:type="spellStart"/>
      <w:r>
        <w:t>Kaliumiodatlösung</w:t>
      </w:r>
      <w:proofErr w:type="spellEnd"/>
      <w:r>
        <w:t xml:space="preserve"> (siehe Abb. 1, Reagenzglas mittig) ein. Die Farbe von Wasser (siehe Abb. 1, Re</w:t>
      </w:r>
      <w:r>
        <w:t>a</w:t>
      </w:r>
      <w:r>
        <w:t>genzglas rechts) dagegen bleibt unverändert.</w:t>
      </w:r>
    </w:p>
    <w:p w:rsidR="002521EE" w:rsidRPr="00DF5FC1" w:rsidRDefault="002521EE" w:rsidP="00DF0177">
      <w:pPr>
        <w:tabs>
          <w:tab w:val="left" w:pos="1701"/>
          <w:tab w:val="left" w:pos="1985"/>
        </w:tabs>
        <w:ind w:left="1985"/>
      </w:pP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1260475</wp:posOffset>
            </wp:positionH>
            <wp:positionV relativeFrom="paragraph">
              <wp:posOffset>0</wp:posOffset>
            </wp:positionV>
            <wp:extent cx="3105150" cy="2000250"/>
            <wp:effectExtent l="19050" t="0" r="0" b="0"/>
            <wp:wrapTight wrapText="bothSides">
              <wp:wrapPolygon edited="0">
                <wp:start x="-133" y="0"/>
                <wp:lineTo x="-133" y="21394"/>
                <wp:lineTo x="21600" y="21394"/>
                <wp:lineTo x="21600" y="0"/>
                <wp:lineTo x="-133" y="0"/>
              </wp:wrapPolygon>
            </wp:wrapTight>
            <wp:docPr id="88" name="Bild 11" descr="F:\DCIM\100SSCAM\S63083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DCIM\100SSCAM\S6308369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lum bright="10000" contrast="20000"/>
                    </a:blip>
                    <a:srcRect l="6771" t="50533" r="48305" b="7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21EE" w:rsidRDefault="002521EE" w:rsidP="002521EE">
      <w:pPr>
        <w:pStyle w:val="Beschriftung"/>
        <w:tabs>
          <w:tab w:val="left" w:pos="4536"/>
        </w:tabs>
        <w:spacing w:after="0"/>
        <w:jc w:val="left"/>
      </w:pPr>
    </w:p>
    <w:p w:rsidR="002521EE" w:rsidRDefault="002521EE" w:rsidP="002521EE">
      <w:pPr>
        <w:pStyle w:val="Beschriftung"/>
        <w:tabs>
          <w:tab w:val="left" w:pos="4536"/>
        </w:tabs>
        <w:spacing w:after="0"/>
        <w:jc w:val="left"/>
      </w:pPr>
    </w:p>
    <w:p w:rsidR="002521EE" w:rsidRDefault="002521EE" w:rsidP="002521EE">
      <w:pPr>
        <w:pStyle w:val="Beschriftung"/>
        <w:tabs>
          <w:tab w:val="left" w:pos="4536"/>
        </w:tabs>
        <w:spacing w:after="0"/>
        <w:jc w:val="left"/>
      </w:pPr>
    </w:p>
    <w:p w:rsidR="002521EE" w:rsidRDefault="002521EE" w:rsidP="002521EE">
      <w:pPr>
        <w:pStyle w:val="Beschriftung"/>
        <w:tabs>
          <w:tab w:val="left" w:pos="4536"/>
        </w:tabs>
        <w:spacing w:after="0"/>
        <w:jc w:val="left"/>
      </w:pPr>
    </w:p>
    <w:p w:rsidR="002521EE" w:rsidRDefault="002521EE" w:rsidP="002521EE"/>
    <w:p w:rsidR="002521EE" w:rsidRDefault="002521EE" w:rsidP="002521EE"/>
    <w:p w:rsidR="002521EE" w:rsidRDefault="002521EE" w:rsidP="002521EE"/>
    <w:p w:rsidR="002521EE" w:rsidRPr="0025037B" w:rsidRDefault="002521EE" w:rsidP="002521EE">
      <w:pPr>
        <w:pStyle w:val="Beschriftung"/>
        <w:tabs>
          <w:tab w:val="left" w:pos="1985"/>
          <w:tab w:val="left" w:pos="4536"/>
        </w:tabs>
        <w:spacing w:after="0"/>
        <w:jc w:val="left"/>
        <w:rPr>
          <w:sz w:val="16"/>
          <w:szCs w:val="16"/>
        </w:rPr>
      </w:pPr>
    </w:p>
    <w:p w:rsidR="002521EE" w:rsidRDefault="002521EE" w:rsidP="002521EE">
      <w:pPr>
        <w:pStyle w:val="Beschriftung"/>
        <w:tabs>
          <w:tab w:val="left" w:pos="1985"/>
          <w:tab w:val="left" w:pos="4536"/>
        </w:tabs>
        <w:spacing w:after="0"/>
        <w:ind w:left="1979"/>
        <w:jc w:val="left"/>
        <w:rPr>
          <w:noProof/>
        </w:rPr>
      </w:pPr>
      <w:r>
        <w:t xml:space="preserve">Abb. 1 - Speisesalzlösung (links), </w:t>
      </w:r>
      <w:proofErr w:type="spellStart"/>
      <w:r>
        <w:t>Kaliumiodatlösung</w:t>
      </w:r>
      <w:proofErr w:type="spellEnd"/>
      <w:r>
        <w:t xml:space="preserve"> (mittig) und </w:t>
      </w:r>
      <w:proofErr w:type="spellStart"/>
      <w:r>
        <w:t>demin</w:t>
      </w:r>
      <w:proofErr w:type="spellEnd"/>
      <w:r>
        <w:t xml:space="preserve">. Wasser (rechts) nach Zugabe der Stärkelösung, der </w:t>
      </w:r>
      <w:proofErr w:type="spellStart"/>
      <w:r>
        <w:t>vedünnten</w:t>
      </w:r>
      <w:proofErr w:type="spellEnd"/>
      <w:r>
        <w:t xml:space="preserve"> Salzsäure und des Kaliumiodids.</w:t>
      </w:r>
    </w:p>
    <w:p w:rsidR="002521EE" w:rsidRPr="0020080C" w:rsidRDefault="002521EE" w:rsidP="002521EE">
      <w:pPr>
        <w:pStyle w:val="Beschriftung"/>
        <w:tabs>
          <w:tab w:val="left" w:pos="1985"/>
          <w:tab w:val="left" w:pos="4536"/>
        </w:tabs>
        <w:spacing w:after="0"/>
        <w:jc w:val="left"/>
        <w:rPr>
          <w:noProof/>
        </w:rPr>
      </w:pPr>
      <w:r>
        <w:rPr>
          <w:noProof/>
        </w:rPr>
        <w:tab/>
      </w:r>
      <w:r>
        <w:rPr>
          <w:noProof/>
        </w:rPr>
        <w:tab/>
        <w:t xml:space="preserve">                </w:t>
      </w:r>
    </w:p>
    <w:p w:rsidR="002521EE" w:rsidRDefault="001E63E2" w:rsidP="002521EE">
      <w:pPr>
        <w:tabs>
          <w:tab w:val="left" w:pos="1985"/>
        </w:tabs>
        <w:spacing w:before="200"/>
        <w:ind w:left="1979" w:hanging="1979"/>
      </w:pPr>
      <w:r>
        <w:rPr>
          <w:noProof/>
          <w:lang w:eastAsia="de-DE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30" o:spid="_x0000_s1026" type="#_x0000_t75" style="position:absolute;left:0;text-align:left;margin-left:253.7pt;margin-top:49.1pt;width:22.5pt;height:12pt;z-index:251660288" fillcolor="#c90">
            <v:imagedata r:id="rId19" o:title=""/>
            <v:shadow color="#5f5f5f"/>
          </v:shape>
          <o:OLEObject Type="Embed" ProgID="MDLDrawOLE.MDLDrawObject.1" ShapeID="Object 30" DrawAspect="Content" ObjectID="_1502265823" r:id="rId20">
            <o:FieldCodes>\s</o:FieldCodes>
          </o:OLEObject>
        </w:pict>
      </w:r>
      <w:r w:rsidR="002521EE">
        <w:t>Deutung:</w:t>
      </w:r>
      <w:r w:rsidR="002521EE">
        <w:tab/>
        <w:t xml:space="preserve">Die Iodat-Ionen in der Speisesalzlösung und </w:t>
      </w:r>
      <w:r w:rsidR="00145BC0">
        <w:t xml:space="preserve">in </w:t>
      </w:r>
      <w:r w:rsidR="002521EE">
        <w:t xml:space="preserve">der </w:t>
      </w:r>
      <w:proofErr w:type="spellStart"/>
      <w:r w:rsidR="002521EE">
        <w:t>Kaliumiodatlösung</w:t>
      </w:r>
      <w:proofErr w:type="spellEnd"/>
      <w:r w:rsidR="002521EE">
        <w:t xml:space="preserve"> we</w:t>
      </w:r>
      <w:r w:rsidR="002521EE">
        <w:t>r</w:t>
      </w:r>
      <w:r w:rsidR="002521EE">
        <w:t>den in saurer Lösung mit Iodid-Ionen zu Iod umgesetzt:</w:t>
      </w:r>
    </w:p>
    <w:p w:rsidR="002521EE" w:rsidRPr="00733B73" w:rsidRDefault="002521EE" w:rsidP="002521EE">
      <w:pPr>
        <w:tabs>
          <w:tab w:val="left" w:pos="1985"/>
        </w:tabs>
        <w:spacing w:before="200"/>
        <w:ind w:left="1979" w:hanging="1979"/>
        <w:rPr>
          <w:iCs/>
        </w:rPr>
      </w:pPr>
      <w:r>
        <w:tab/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iCs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IO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b>
                </m:sSub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</m:sup>
            </m:sSup>
          </m:e>
          <m:sub>
            <m:r>
              <m:rPr>
                <m:sty m:val="p"/>
              </m:rPr>
              <w:rPr>
                <w:rFonts w:ascii="Cambria Math" w:hAnsi="Cambria Math"/>
              </w:rPr>
              <m:t>(aq)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+ </m:t>
        </m:r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iCs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 I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</m:sup>
            </m:sSup>
          </m:e>
          <m:sub>
            <m:r>
              <m:rPr>
                <m:sty m:val="p"/>
              </m:rPr>
              <w:rPr>
                <w:rFonts w:ascii="Cambria Math" w:hAnsi="Cambria Math"/>
              </w:rPr>
              <m:t>(aq)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+ </m:t>
        </m:r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iCs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6 H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</m:sup>
            </m:sSup>
          </m:e>
          <m:sub>
            <m:r>
              <m:rPr>
                <m:sty m:val="p"/>
              </m:rPr>
              <w:rPr>
                <w:rFonts w:ascii="Cambria Math" w:hAnsi="Cambria Math"/>
              </w:rPr>
              <m:t>(aq)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                  </m:t>
        </m:r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3 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2(s)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+ </m:t>
        </m:r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 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(l)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</m:t>
        </m:r>
      </m:oMath>
      <w:r>
        <w:rPr>
          <w:rFonts w:eastAsiaTheme="minorEastAsia"/>
          <w:iCs/>
        </w:rPr>
        <w:t>.</w:t>
      </w:r>
    </w:p>
    <w:p w:rsidR="002521EE" w:rsidRPr="00622EE5" w:rsidRDefault="002521EE" w:rsidP="00505F70">
      <w:pPr>
        <w:tabs>
          <w:tab w:val="left" w:pos="1985"/>
        </w:tabs>
        <w:spacing w:before="200"/>
        <w:ind w:left="1979" w:hanging="1979"/>
        <w:rPr>
          <w:rFonts w:eastAsiaTheme="minorEastAsia"/>
        </w:rPr>
      </w:pPr>
      <w:r>
        <w:tab/>
      </w:r>
      <w:r w:rsidR="00505F70">
        <w:t xml:space="preserve">Bei der Reaktion handelt es sich um eine Redoxreaktion, bei der </w:t>
      </w:r>
      <w:proofErr w:type="spellStart"/>
      <w:r w:rsidR="00505F70">
        <w:t>I</w:t>
      </w:r>
      <w:r w:rsidR="00505F70">
        <w:t>o</w:t>
      </w:r>
      <w:r w:rsidR="00505F70">
        <w:t>dat</w:t>
      </w:r>
      <w:proofErr w:type="spellEnd"/>
      <w:r w:rsidR="00505F70">
        <w:noBreakHyphen/>
        <w:t>Ionen reduziert und Iodid-Ionen oxidiert werden (</w:t>
      </w:r>
      <w:proofErr w:type="spellStart"/>
      <w:r w:rsidR="00505F70">
        <w:t>Komproportionie-rung</w:t>
      </w:r>
      <w:proofErr w:type="spellEnd"/>
      <w:r w:rsidR="00505F70">
        <w:t>). Der</w:t>
      </w:r>
      <w:r w:rsidRPr="00622EE5">
        <w:t xml:space="preserve"> </w:t>
      </w:r>
      <w:r>
        <w:t xml:space="preserve">entstandene </w:t>
      </w:r>
      <w:proofErr w:type="spellStart"/>
      <w:r w:rsidRPr="00622EE5">
        <w:t>Iod</w:t>
      </w:r>
      <w:proofErr w:type="spellEnd"/>
      <w:r w:rsidR="00731C23">
        <w:noBreakHyphen/>
      </w:r>
      <w:r w:rsidR="00505F70">
        <w:t>Stärke-Komplex</w:t>
      </w:r>
      <w:r w:rsidRPr="00622EE5">
        <w:t xml:space="preserve"> v</w:t>
      </w:r>
      <w:r>
        <w:t>erursacht die Blaufärbung der beiden Lösungen. Iod kann daher mit einer Kaliumiodid-Stärke-Lösung nachgewiesen werden. In Form von Iod-Kaliumiodid-Lösung (</w:t>
      </w:r>
      <w:proofErr w:type="spellStart"/>
      <w:r>
        <w:t>Lulgol’sche</w:t>
      </w:r>
      <w:proofErr w:type="spellEnd"/>
      <w:r>
        <w:t xml:space="preserve"> Lösung) dient es dem Nachweis von Stärke.</w:t>
      </w:r>
    </w:p>
    <w:p w:rsidR="002521EE" w:rsidRPr="00622EE5" w:rsidRDefault="002521EE" w:rsidP="002521EE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 w:rsidRPr="00622EE5">
        <w:rPr>
          <w:rFonts w:eastAsiaTheme="minorEastAsia"/>
        </w:rPr>
        <w:t>Entsorgung:</w:t>
      </w:r>
      <w:r w:rsidRPr="00622EE5">
        <w:rPr>
          <w:rFonts w:eastAsiaTheme="minorEastAsia"/>
        </w:rPr>
        <w:tab/>
      </w:r>
      <w:r w:rsidRPr="00622EE5">
        <w:rPr>
          <w:rFonts w:eastAsiaTheme="minorEastAsia"/>
        </w:rPr>
        <w:tab/>
      </w:r>
      <w:r>
        <w:rPr>
          <w:rFonts w:eastAsiaTheme="minorEastAsia"/>
        </w:rPr>
        <w:t xml:space="preserve">Das Iod wird mit einer </w:t>
      </w:r>
      <w:proofErr w:type="spellStart"/>
      <w:r>
        <w:rPr>
          <w:rFonts w:eastAsiaTheme="minorEastAsia"/>
        </w:rPr>
        <w:t>Thiocyanatlösung</w:t>
      </w:r>
      <w:proofErr w:type="spellEnd"/>
      <w:r>
        <w:rPr>
          <w:rFonts w:eastAsiaTheme="minorEastAsia"/>
        </w:rPr>
        <w:t xml:space="preserve"> versetzt und anschließend ins Abwasser gegeben</w:t>
      </w:r>
      <w:r w:rsidRPr="00622EE5">
        <w:rPr>
          <w:rFonts w:eastAsiaTheme="minorEastAsia"/>
        </w:rPr>
        <w:t>.</w:t>
      </w:r>
    </w:p>
    <w:p w:rsidR="002521EE" w:rsidRPr="0004213B" w:rsidRDefault="002521EE" w:rsidP="002521EE">
      <w:pPr>
        <w:ind w:left="1985" w:hanging="1985"/>
        <w:rPr>
          <w:color w:val="auto"/>
        </w:rPr>
      </w:pPr>
      <w:r>
        <w:rPr>
          <w:rFonts w:eastAsiaTheme="minorEastAsia"/>
        </w:rPr>
        <w:t>Literatur:</w:t>
      </w:r>
      <w:r>
        <w:rPr>
          <w:rFonts w:eastAsiaTheme="minorEastAsia"/>
        </w:rPr>
        <w:tab/>
      </w:r>
      <w:r>
        <w:t xml:space="preserve">G. </w:t>
      </w:r>
      <w:proofErr w:type="spellStart"/>
      <w:r>
        <w:t>Schwendt</w:t>
      </w:r>
      <w:proofErr w:type="spellEnd"/>
      <w:r>
        <w:t>, Noch mehr Experimente mit Supermarktprodukten, WILEY</w:t>
      </w:r>
      <w:r>
        <w:noBreakHyphen/>
        <w:t>VCH, 2003, S. 210.</w:t>
      </w:r>
    </w:p>
    <w:p w:rsidR="002521EE" w:rsidRPr="002521EE" w:rsidRDefault="002521EE" w:rsidP="002521EE"/>
    <w:p w:rsidR="00AA19AA" w:rsidRPr="00AA19AA" w:rsidRDefault="00CB62B7" w:rsidP="00CB62B7">
      <w:pPr>
        <w:tabs>
          <w:tab w:val="left" w:pos="5475"/>
        </w:tabs>
      </w:pPr>
      <w:r>
        <w:tab/>
      </w:r>
    </w:p>
    <w:p w:rsidR="00B666C9" w:rsidRPr="00B666C9" w:rsidRDefault="00B666C9" w:rsidP="00B666C9"/>
    <w:p w:rsidR="00912120" w:rsidRPr="009A5163" w:rsidRDefault="00912120" w:rsidP="009A5163">
      <w:pPr>
        <w:tabs>
          <w:tab w:val="left" w:pos="1701"/>
          <w:tab w:val="left" w:pos="1985"/>
        </w:tabs>
      </w:pPr>
    </w:p>
    <w:sectPr w:rsidR="00912120" w:rsidRPr="009A5163" w:rsidSect="00AA3A1E">
      <w:headerReference w:type="default" r:id="rId21"/>
      <w:pgSz w:w="11906" w:h="16838" w:code="9"/>
      <w:pgMar w:top="1418" w:right="1418" w:bottom="70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B10" w:rsidRDefault="00BC4B10" w:rsidP="0086227B">
      <w:pPr>
        <w:spacing w:after="0" w:line="240" w:lineRule="auto"/>
      </w:pPr>
      <w:r>
        <w:separator/>
      </w:r>
    </w:p>
  </w:endnote>
  <w:endnote w:type="continuationSeparator" w:id="0">
    <w:p w:rsidR="00BC4B10" w:rsidRDefault="00BC4B10" w:rsidP="00862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B10" w:rsidRDefault="00BC4B10" w:rsidP="0086227B">
      <w:pPr>
        <w:spacing w:after="0" w:line="240" w:lineRule="auto"/>
      </w:pPr>
      <w:r>
        <w:separator/>
      </w:r>
    </w:p>
  </w:footnote>
  <w:footnote w:type="continuationSeparator" w:id="0">
    <w:p w:rsidR="00BC4B10" w:rsidRDefault="00BC4B10" w:rsidP="00862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0"/>
        <w:szCs w:val="20"/>
      </w:rPr>
      <w:id w:val="689263763"/>
      <w:docPartObj>
        <w:docPartGallery w:val="Page Numbers (Top of Page)"/>
        <w:docPartUnique/>
      </w:docPartObj>
    </w:sdtPr>
    <w:sdtContent>
      <w:p w:rsidR="00690D42" w:rsidRPr="0080101C" w:rsidRDefault="001E63E2" w:rsidP="002724A2">
        <w:pPr>
          <w:pStyle w:val="Kopfzeile"/>
          <w:tabs>
            <w:tab w:val="left" w:pos="0"/>
            <w:tab w:val="left" w:pos="284"/>
          </w:tabs>
          <w:jc w:val="right"/>
          <w:rPr>
            <w:rFonts w:asciiTheme="majorHAnsi" w:hAnsiTheme="majorHAnsi"/>
            <w:sz w:val="20"/>
            <w:szCs w:val="20"/>
          </w:rPr>
        </w:pPr>
        <w:fldSimple w:instr=" STYLEREF  &quot;Überschrift 1&quot;  \* MERGEFORMAT ">
          <w:r w:rsidR="00145BC0">
            <w:rPr>
              <w:noProof/>
            </w:rPr>
            <w:t>SV – Nachweis von Iodat in Speisesalz</w:t>
          </w:r>
        </w:fldSimple>
        <w:r w:rsidR="00FE31B6">
          <w:tab/>
        </w:r>
        <w:r w:rsidR="002724A2">
          <w:tab/>
        </w:r>
        <w:r w:rsidRPr="0080101C">
          <w:rPr>
            <w:rFonts w:asciiTheme="majorHAnsi" w:hAnsiTheme="majorHAnsi"/>
            <w:sz w:val="20"/>
            <w:szCs w:val="20"/>
          </w:rPr>
          <w:fldChar w:fldCharType="begin"/>
        </w:r>
        <w:r w:rsidR="00AA3A1E" w:rsidRPr="0080101C">
          <w:rPr>
            <w:rFonts w:asciiTheme="majorHAnsi" w:hAnsiTheme="majorHAnsi"/>
            <w:sz w:val="20"/>
            <w:szCs w:val="20"/>
          </w:rPr>
          <w:instrText xml:space="preserve"> PAGE   \* MERGEFORMAT </w:instrText>
        </w:r>
        <w:r w:rsidRPr="0080101C">
          <w:rPr>
            <w:rFonts w:asciiTheme="majorHAnsi" w:hAnsiTheme="majorHAnsi"/>
            <w:sz w:val="20"/>
            <w:szCs w:val="20"/>
          </w:rPr>
          <w:fldChar w:fldCharType="separate"/>
        </w:r>
        <w:r w:rsidR="00145BC0">
          <w:rPr>
            <w:rFonts w:asciiTheme="majorHAnsi" w:hAnsiTheme="majorHAnsi"/>
            <w:noProof/>
            <w:sz w:val="20"/>
            <w:szCs w:val="20"/>
          </w:rPr>
          <w:t>2</w:t>
        </w:r>
        <w:r w:rsidRPr="0080101C">
          <w:rPr>
            <w:rFonts w:asciiTheme="majorHAnsi" w:hAnsiTheme="majorHAnsi"/>
            <w:sz w:val="20"/>
            <w:szCs w:val="20"/>
          </w:rPr>
          <w:fldChar w:fldCharType="end"/>
        </w:r>
        <w:r w:rsidR="00AA3A1E">
          <w:tab/>
        </w:r>
        <w:r w:rsidR="00AA3A1E">
          <w:tab/>
        </w:r>
        <w:r w:rsidR="00690D42" w:rsidRPr="0080101C">
          <w:rPr>
            <w:rFonts w:asciiTheme="majorHAnsi" w:hAnsiTheme="majorHAnsi"/>
            <w:sz w:val="20"/>
            <w:szCs w:val="20"/>
          </w:rPr>
          <w:tab/>
        </w:r>
        <w:r w:rsidR="00690D42">
          <w:rPr>
            <w:rFonts w:asciiTheme="majorHAnsi" w:hAnsiTheme="majorHAnsi"/>
            <w:sz w:val="20"/>
            <w:szCs w:val="20"/>
          </w:rPr>
          <w:tab/>
        </w:r>
        <w:r w:rsidR="00690D42" w:rsidRPr="0080101C">
          <w:rPr>
            <w:rFonts w:asciiTheme="majorHAnsi" w:hAnsiTheme="majorHAnsi"/>
            <w:sz w:val="20"/>
            <w:szCs w:val="20"/>
          </w:rPr>
          <w:tab/>
        </w:r>
        <w:r w:rsidR="00690D42" w:rsidRPr="0080101C">
          <w:rPr>
            <w:rFonts w:asciiTheme="majorHAnsi" w:hAnsiTheme="majorHAnsi" w:cs="Arial"/>
            <w:sz w:val="20"/>
            <w:szCs w:val="20"/>
          </w:rPr>
          <w:t xml:space="preserve"> </w:t>
        </w:r>
      </w:p>
    </w:sdtContent>
  </w:sdt>
  <w:p w:rsidR="00690D42" w:rsidRPr="0080101C" w:rsidRDefault="001E63E2" w:rsidP="0049087A">
    <w:pPr>
      <w:pStyle w:val="Kopfzeile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noProof/>
        <w:sz w:val="20"/>
        <w:szCs w:val="20"/>
        <w:lang w:eastAsia="de-DE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left:0;text-align:left;margin-left:-3.35pt;margin-top:3.05pt;width:462pt;height:.05pt;flip:x;z-index:251666432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10DA"/>
    <w:multiLevelType w:val="hybridMultilevel"/>
    <w:tmpl w:val="3D4AC6E0"/>
    <w:lvl w:ilvl="0" w:tplc="4C781D6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50BA5"/>
    <w:multiLevelType w:val="hybridMultilevel"/>
    <w:tmpl w:val="9048BE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571E8"/>
    <w:multiLevelType w:val="hybridMultilevel"/>
    <w:tmpl w:val="6560B12C"/>
    <w:lvl w:ilvl="0" w:tplc="B810F786">
      <w:numFmt w:val="bullet"/>
      <w:lvlText w:val="&gt;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52D0B"/>
    <w:multiLevelType w:val="hybridMultilevel"/>
    <w:tmpl w:val="811480F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844F23"/>
    <w:multiLevelType w:val="hybridMultilevel"/>
    <w:tmpl w:val="52563BBE"/>
    <w:lvl w:ilvl="0" w:tplc="47586E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32A57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29C0C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0DA1E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25A49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CCAE7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65866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E6098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79AE7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5">
    <w:nsid w:val="371A2185"/>
    <w:multiLevelType w:val="hybridMultilevel"/>
    <w:tmpl w:val="7BBEAB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942227"/>
    <w:multiLevelType w:val="hybridMultilevel"/>
    <w:tmpl w:val="C1C886C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6106B9"/>
    <w:multiLevelType w:val="hybridMultilevel"/>
    <w:tmpl w:val="1C8A56C0"/>
    <w:lvl w:ilvl="0" w:tplc="49F23CAC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6A156AB2"/>
    <w:multiLevelType w:val="hybridMultilevel"/>
    <w:tmpl w:val="D382DCD6"/>
    <w:lvl w:ilvl="0" w:tplc="A29CB35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A67C76"/>
    <w:multiLevelType w:val="hybridMultilevel"/>
    <w:tmpl w:val="9942017A"/>
    <w:lvl w:ilvl="0" w:tplc="9102830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5"/>
  </w:num>
  <w:num w:numId="12">
    <w:abstractNumId w:val="1"/>
  </w:num>
  <w:num w:numId="13">
    <w:abstractNumId w:val="7"/>
  </w:num>
  <w:num w:numId="14">
    <w:abstractNumId w:val="6"/>
  </w:num>
  <w:num w:numId="15">
    <w:abstractNumId w:val="9"/>
  </w:num>
  <w:num w:numId="16">
    <w:abstractNumId w:val="2"/>
  </w:num>
  <w:num w:numId="17">
    <w:abstractNumId w:val="10"/>
  </w:num>
  <w:num w:numId="18">
    <w:abstractNumId w:val="3"/>
  </w:num>
  <w:num w:numId="19">
    <w:abstractNumId w:val="0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49154"/>
    <o:shapelayout v:ext="edit">
      <o:idmap v:ext="edit" data="2"/>
      <o:rules v:ext="edit">
        <o:r id="V:Rule2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6227B"/>
    <w:rsid w:val="00005197"/>
    <w:rsid w:val="000073F3"/>
    <w:rsid w:val="00007E3F"/>
    <w:rsid w:val="00011800"/>
    <w:rsid w:val="0001297F"/>
    <w:rsid w:val="000137A3"/>
    <w:rsid w:val="00013CCF"/>
    <w:rsid w:val="00014E7D"/>
    <w:rsid w:val="00015FE6"/>
    <w:rsid w:val="00020F27"/>
    <w:rsid w:val="00022871"/>
    <w:rsid w:val="0003145F"/>
    <w:rsid w:val="00034864"/>
    <w:rsid w:val="00036306"/>
    <w:rsid w:val="00037EEB"/>
    <w:rsid w:val="00041562"/>
    <w:rsid w:val="00044334"/>
    <w:rsid w:val="000465E6"/>
    <w:rsid w:val="000532F3"/>
    <w:rsid w:val="00056798"/>
    <w:rsid w:val="00061979"/>
    <w:rsid w:val="0006287D"/>
    <w:rsid w:val="0006684E"/>
    <w:rsid w:val="00066DE1"/>
    <w:rsid w:val="00067AEC"/>
    <w:rsid w:val="0007005A"/>
    <w:rsid w:val="00072812"/>
    <w:rsid w:val="00073F1E"/>
    <w:rsid w:val="000745CC"/>
    <w:rsid w:val="00074A34"/>
    <w:rsid w:val="00074BC0"/>
    <w:rsid w:val="0007697C"/>
    <w:rsid w:val="0007729E"/>
    <w:rsid w:val="000800BB"/>
    <w:rsid w:val="00080AEF"/>
    <w:rsid w:val="00083586"/>
    <w:rsid w:val="000835D3"/>
    <w:rsid w:val="00084850"/>
    <w:rsid w:val="00087B18"/>
    <w:rsid w:val="00090175"/>
    <w:rsid w:val="0009202B"/>
    <w:rsid w:val="000969FD"/>
    <w:rsid w:val="000972FF"/>
    <w:rsid w:val="0009736D"/>
    <w:rsid w:val="000A7709"/>
    <w:rsid w:val="000B0523"/>
    <w:rsid w:val="000B6ECC"/>
    <w:rsid w:val="000C4EB4"/>
    <w:rsid w:val="000D10FB"/>
    <w:rsid w:val="000D2C37"/>
    <w:rsid w:val="000D5E4A"/>
    <w:rsid w:val="000D63D8"/>
    <w:rsid w:val="000D7381"/>
    <w:rsid w:val="000E0EBE"/>
    <w:rsid w:val="000E21A7"/>
    <w:rsid w:val="000E5561"/>
    <w:rsid w:val="000E7DB1"/>
    <w:rsid w:val="000F5EEC"/>
    <w:rsid w:val="001022B4"/>
    <w:rsid w:val="0010790B"/>
    <w:rsid w:val="00115A1D"/>
    <w:rsid w:val="00117118"/>
    <w:rsid w:val="0012481E"/>
    <w:rsid w:val="00125CEA"/>
    <w:rsid w:val="00126F97"/>
    <w:rsid w:val="0012753E"/>
    <w:rsid w:val="00134644"/>
    <w:rsid w:val="0013621E"/>
    <w:rsid w:val="00141396"/>
    <w:rsid w:val="0014467A"/>
    <w:rsid w:val="00145BC0"/>
    <w:rsid w:val="00147AF4"/>
    <w:rsid w:val="00153EA8"/>
    <w:rsid w:val="001547EA"/>
    <w:rsid w:val="00154F00"/>
    <w:rsid w:val="00155DBB"/>
    <w:rsid w:val="001572BB"/>
    <w:rsid w:val="00157F3D"/>
    <w:rsid w:val="00157FA0"/>
    <w:rsid w:val="001607D1"/>
    <w:rsid w:val="00163DEC"/>
    <w:rsid w:val="0017181F"/>
    <w:rsid w:val="0018293C"/>
    <w:rsid w:val="001948DD"/>
    <w:rsid w:val="00194CAD"/>
    <w:rsid w:val="001A546C"/>
    <w:rsid w:val="001A7524"/>
    <w:rsid w:val="001B46E0"/>
    <w:rsid w:val="001B4A83"/>
    <w:rsid w:val="001B4CAF"/>
    <w:rsid w:val="001C0C2D"/>
    <w:rsid w:val="001C5EFC"/>
    <w:rsid w:val="001D0BA2"/>
    <w:rsid w:val="001D4541"/>
    <w:rsid w:val="001D5CC5"/>
    <w:rsid w:val="001E4D4C"/>
    <w:rsid w:val="001E63E2"/>
    <w:rsid w:val="001E649D"/>
    <w:rsid w:val="001F0876"/>
    <w:rsid w:val="001F26A1"/>
    <w:rsid w:val="001F400A"/>
    <w:rsid w:val="00200DC3"/>
    <w:rsid w:val="002019A3"/>
    <w:rsid w:val="00202025"/>
    <w:rsid w:val="00206D6B"/>
    <w:rsid w:val="00211BB4"/>
    <w:rsid w:val="00216E3C"/>
    <w:rsid w:val="00217853"/>
    <w:rsid w:val="002206F9"/>
    <w:rsid w:val="002208FB"/>
    <w:rsid w:val="00224766"/>
    <w:rsid w:val="0022554F"/>
    <w:rsid w:val="002274F3"/>
    <w:rsid w:val="00230C6E"/>
    <w:rsid w:val="0023241F"/>
    <w:rsid w:val="002347FE"/>
    <w:rsid w:val="002348B5"/>
    <w:rsid w:val="00234A17"/>
    <w:rsid w:val="002375EF"/>
    <w:rsid w:val="00237984"/>
    <w:rsid w:val="002424A9"/>
    <w:rsid w:val="0024324F"/>
    <w:rsid w:val="00246280"/>
    <w:rsid w:val="0025037B"/>
    <w:rsid w:val="00251BD1"/>
    <w:rsid w:val="002521EE"/>
    <w:rsid w:val="00253CA5"/>
    <w:rsid w:val="00254369"/>
    <w:rsid w:val="00254F3F"/>
    <w:rsid w:val="00260C01"/>
    <w:rsid w:val="0026285C"/>
    <w:rsid w:val="00262C39"/>
    <w:rsid w:val="0026410F"/>
    <w:rsid w:val="0026441B"/>
    <w:rsid w:val="00264F81"/>
    <w:rsid w:val="00270289"/>
    <w:rsid w:val="002724A2"/>
    <w:rsid w:val="002742C8"/>
    <w:rsid w:val="0028080E"/>
    <w:rsid w:val="0028646F"/>
    <w:rsid w:val="00287018"/>
    <w:rsid w:val="0028750E"/>
    <w:rsid w:val="00292325"/>
    <w:rsid w:val="002944CF"/>
    <w:rsid w:val="00297F73"/>
    <w:rsid w:val="002A00AA"/>
    <w:rsid w:val="002A1B64"/>
    <w:rsid w:val="002A413B"/>
    <w:rsid w:val="002A716F"/>
    <w:rsid w:val="002A7855"/>
    <w:rsid w:val="002B041D"/>
    <w:rsid w:val="002B0B14"/>
    <w:rsid w:val="002C014B"/>
    <w:rsid w:val="002C073B"/>
    <w:rsid w:val="002C502E"/>
    <w:rsid w:val="002C5903"/>
    <w:rsid w:val="002D4D9A"/>
    <w:rsid w:val="002D660E"/>
    <w:rsid w:val="002D7AB9"/>
    <w:rsid w:val="002E0F34"/>
    <w:rsid w:val="002E19E0"/>
    <w:rsid w:val="002E1F0A"/>
    <w:rsid w:val="002E2DD3"/>
    <w:rsid w:val="002E38A0"/>
    <w:rsid w:val="002E4B9C"/>
    <w:rsid w:val="002E5FCC"/>
    <w:rsid w:val="002F25D2"/>
    <w:rsid w:val="002F38EE"/>
    <w:rsid w:val="002F3A13"/>
    <w:rsid w:val="002F7C9B"/>
    <w:rsid w:val="003007FB"/>
    <w:rsid w:val="00300C2B"/>
    <w:rsid w:val="00301101"/>
    <w:rsid w:val="00307C0D"/>
    <w:rsid w:val="003113B2"/>
    <w:rsid w:val="0031620D"/>
    <w:rsid w:val="00317C89"/>
    <w:rsid w:val="00331C46"/>
    <w:rsid w:val="00333E0D"/>
    <w:rsid w:val="0033677B"/>
    <w:rsid w:val="00336B3B"/>
    <w:rsid w:val="00336F49"/>
    <w:rsid w:val="00337B69"/>
    <w:rsid w:val="00337F0A"/>
    <w:rsid w:val="00340D88"/>
    <w:rsid w:val="00344BB7"/>
    <w:rsid w:val="0034518F"/>
    <w:rsid w:val="00345293"/>
    <w:rsid w:val="00345F54"/>
    <w:rsid w:val="003511FC"/>
    <w:rsid w:val="00353D44"/>
    <w:rsid w:val="00356108"/>
    <w:rsid w:val="00362A36"/>
    <w:rsid w:val="003655AA"/>
    <w:rsid w:val="003731AC"/>
    <w:rsid w:val="0037651E"/>
    <w:rsid w:val="00377662"/>
    <w:rsid w:val="00381C71"/>
    <w:rsid w:val="0038284A"/>
    <w:rsid w:val="003837C2"/>
    <w:rsid w:val="00384682"/>
    <w:rsid w:val="00394F50"/>
    <w:rsid w:val="003975AD"/>
    <w:rsid w:val="003A4BB9"/>
    <w:rsid w:val="003A5F2C"/>
    <w:rsid w:val="003B10F6"/>
    <w:rsid w:val="003B45A9"/>
    <w:rsid w:val="003B45C5"/>
    <w:rsid w:val="003B49C6"/>
    <w:rsid w:val="003B5D0E"/>
    <w:rsid w:val="003C0911"/>
    <w:rsid w:val="003C3273"/>
    <w:rsid w:val="003C53A1"/>
    <w:rsid w:val="003C5747"/>
    <w:rsid w:val="003C7DC3"/>
    <w:rsid w:val="003D529E"/>
    <w:rsid w:val="003D6348"/>
    <w:rsid w:val="003E69AB"/>
    <w:rsid w:val="003E76BB"/>
    <w:rsid w:val="003F36BC"/>
    <w:rsid w:val="003F373A"/>
    <w:rsid w:val="003F48E2"/>
    <w:rsid w:val="00401750"/>
    <w:rsid w:val="00401E11"/>
    <w:rsid w:val="0040673F"/>
    <w:rsid w:val="004102B8"/>
    <w:rsid w:val="00411474"/>
    <w:rsid w:val="004131F0"/>
    <w:rsid w:val="004140D0"/>
    <w:rsid w:val="004146B3"/>
    <w:rsid w:val="00414AC4"/>
    <w:rsid w:val="00415055"/>
    <w:rsid w:val="0041565C"/>
    <w:rsid w:val="00415B54"/>
    <w:rsid w:val="00424710"/>
    <w:rsid w:val="004260C5"/>
    <w:rsid w:val="00426D61"/>
    <w:rsid w:val="0042755B"/>
    <w:rsid w:val="00431EAC"/>
    <w:rsid w:val="00433B0B"/>
    <w:rsid w:val="00434CE8"/>
    <w:rsid w:val="00434D4E"/>
    <w:rsid w:val="00434F30"/>
    <w:rsid w:val="00437D54"/>
    <w:rsid w:val="00442463"/>
    <w:rsid w:val="00442BA2"/>
    <w:rsid w:val="00442EB1"/>
    <w:rsid w:val="00442EC1"/>
    <w:rsid w:val="004506A8"/>
    <w:rsid w:val="00450BE5"/>
    <w:rsid w:val="0045667F"/>
    <w:rsid w:val="00460821"/>
    <w:rsid w:val="00465ADE"/>
    <w:rsid w:val="00466A85"/>
    <w:rsid w:val="0046759B"/>
    <w:rsid w:val="00471B47"/>
    <w:rsid w:val="00471FC3"/>
    <w:rsid w:val="00473641"/>
    <w:rsid w:val="00473827"/>
    <w:rsid w:val="00477DE8"/>
    <w:rsid w:val="00486C9F"/>
    <w:rsid w:val="0049087A"/>
    <w:rsid w:val="004927CA"/>
    <w:rsid w:val="004944F3"/>
    <w:rsid w:val="004950AC"/>
    <w:rsid w:val="004A2E9D"/>
    <w:rsid w:val="004A7057"/>
    <w:rsid w:val="004B03E9"/>
    <w:rsid w:val="004B200E"/>
    <w:rsid w:val="004B3E0E"/>
    <w:rsid w:val="004C64A6"/>
    <w:rsid w:val="004C690C"/>
    <w:rsid w:val="004D2994"/>
    <w:rsid w:val="004D321A"/>
    <w:rsid w:val="004F1A17"/>
    <w:rsid w:val="004F7813"/>
    <w:rsid w:val="0050117F"/>
    <w:rsid w:val="00503C6A"/>
    <w:rsid w:val="005050BA"/>
    <w:rsid w:val="00505F70"/>
    <w:rsid w:val="0050605E"/>
    <w:rsid w:val="005115B1"/>
    <w:rsid w:val="00511B2E"/>
    <w:rsid w:val="005131C3"/>
    <w:rsid w:val="00514936"/>
    <w:rsid w:val="00515255"/>
    <w:rsid w:val="005228A9"/>
    <w:rsid w:val="005231C7"/>
    <w:rsid w:val="00523D07"/>
    <w:rsid w:val="005240FE"/>
    <w:rsid w:val="0052649F"/>
    <w:rsid w:val="00526F69"/>
    <w:rsid w:val="005307B8"/>
    <w:rsid w:val="00530A18"/>
    <w:rsid w:val="00532CD5"/>
    <w:rsid w:val="00536C80"/>
    <w:rsid w:val="00541890"/>
    <w:rsid w:val="00542D1B"/>
    <w:rsid w:val="00544922"/>
    <w:rsid w:val="0054721C"/>
    <w:rsid w:val="00547D40"/>
    <w:rsid w:val="00550BAB"/>
    <w:rsid w:val="00550FB8"/>
    <w:rsid w:val="005511E2"/>
    <w:rsid w:val="005575CF"/>
    <w:rsid w:val="005613ED"/>
    <w:rsid w:val="005650D4"/>
    <w:rsid w:val="00565E95"/>
    <w:rsid w:val="005669B2"/>
    <w:rsid w:val="005701B3"/>
    <w:rsid w:val="0057248F"/>
    <w:rsid w:val="00572A12"/>
    <w:rsid w:val="00573704"/>
    <w:rsid w:val="00574063"/>
    <w:rsid w:val="005745F8"/>
    <w:rsid w:val="0057596C"/>
    <w:rsid w:val="00576C62"/>
    <w:rsid w:val="00585DB4"/>
    <w:rsid w:val="00591B02"/>
    <w:rsid w:val="00595177"/>
    <w:rsid w:val="005978FA"/>
    <w:rsid w:val="005A2E89"/>
    <w:rsid w:val="005A69CD"/>
    <w:rsid w:val="005B0270"/>
    <w:rsid w:val="005B1F71"/>
    <w:rsid w:val="005B23FC"/>
    <w:rsid w:val="005B529F"/>
    <w:rsid w:val="005B52EE"/>
    <w:rsid w:val="005B60E3"/>
    <w:rsid w:val="005C0A4E"/>
    <w:rsid w:val="005C1465"/>
    <w:rsid w:val="005D1568"/>
    <w:rsid w:val="005E1939"/>
    <w:rsid w:val="005E3970"/>
    <w:rsid w:val="005F2176"/>
    <w:rsid w:val="00600EB1"/>
    <w:rsid w:val="00602079"/>
    <w:rsid w:val="00613697"/>
    <w:rsid w:val="00621CF3"/>
    <w:rsid w:val="00626874"/>
    <w:rsid w:val="00631F0F"/>
    <w:rsid w:val="00636C4B"/>
    <w:rsid w:val="00637239"/>
    <w:rsid w:val="0063723F"/>
    <w:rsid w:val="00654117"/>
    <w:rsid w:val="006556C0"/>
    <w:rsid w:val="00655EBD"/>
    <w:rsid w:val="00662449"/>
    <w:rsid w:val="00672281"/>
    <w:rsid w:val="0067740A"/>
    <w:rsid w:val="00681739"/>
    <w:rsid w:val="00690534"/>
    <w:rsid w:val="00690B64"/>
    <w:rsid w:val="00690D42"/>
    <w:rsid w:val="006911F2"/>
    <w:rsid w:val="006915BE"/>
    <w:rsid w:val="00692A25"/>
    <w:rsid w:val="006943C9"/>
    <w:rsid w:val="006968E6"/>
    <w:rsid w:val="006A0F35"/>
    <w:rsid w:val="006A2513"/>
    <w:rsid w:val="006A41FA"/>
    <w:rsid w:val="006A4940"/>
    <w:rsid w:val="006A7EEF"/>
    <w:rsid w:val="006B0A0A"/>
    <w:rsid w:val="006B163A"/>
    <w:rsid w:val="006B3EC2"/>
    <w:rsid w:val="006B6499"/>
    <w:rsid w:val="006C188A"/>
    <w:rsid w:val="006C295A"/>
    <w:rsid w:val="006C3E52"/>
    <w:rsid w:val="006C5B0D"/>
    <w:rsid w:val="006C7B24"/>
    <w:rsid w:val="006D07D7"/>
    <w:rsid w:val="006D2E57"/>
    <w:rsid w:val="006E32AF"/>
    <w:rsid w:val="006E33AE"/>
    <w:rsid w:val="006E451C"/>
    <w:rsid w:val="006E4DDC"/>
    <w:rsid w:val="006F1056"/>
    <w:rsid w:val="006F20DD"/>
    <w:rsid w:val="006F2170"/>
    <w:rsid w:val="006F4715"/>
    <w:rsid w:val="006F5FE6"/>
    <w:rsid w:val="007003B7"/>
    <w:rsid w:val="007006FD"/>
    <w:rsid w:val="007008C7"/>
    <w:rsid w:val="00701D30"/>
    <w:rsid w:val="00703E7E"/>
    <w:rsid w:val="00706F75"/>
    <w:rsid w:val="00707392"/>
    <w:rsid w:val="00716BC6"/>
    <w:rsid w:val="00716F9D"/>
    <w:rsid w:val="0072123D"/>
    <w:rsid w:val="007251BF"/>
    <w:rsid w:val="00730AF6"/>
    <w:rsid w:val="0073199F"/>
    <w:rsid w:val="00731C23"/>
    <w:rsid w:val="0073378E"/>
    <w:rsid w:val="00733E19"/>
    <w:rsid w:val="00734750"/>
    <w:rsid w:val="00734E7B"/>
    <w:rsid w:val="00744132"/>
    <w:rsid w:val="00746773"/>
    <w:rsid w:val="00750C7B"/>
    <w:rsid w:val="00751311"/>
    <w:rsid w:val="00753D91"/>
    <w:rsid w:val="00754608"/>
    <w:rsid w:val="00755E88"/>
    <w:rsid w:val="007570E0"/>
    <w:rsid w:val="00762E50"/>
    <w:rsid w:val="00767DFA"/>
    <w:rsid w:val="00773ABF"/>
    <w:rsid w:val="00775EEC"/>
    <w:rsid w:val="0078071E"/>
    <w:rsid w:val="00790CE3"/>
    <w:rsid w:val="00790D3B"/>
    <w:rsid w:val="007A008B"/>
    <w:rsid w:val="007A2279"/>
    <w:rsid w:val="007A3A73"/>
    <w:rsid w:val="007A3D69"/>
    <w:rsid w:val="007A5537"/>
    <w:rsid w:val="007A5609"/>
    <w:rsid w:val="007A7FA8"/>
    <w:rsid w:val="007B0CC4"/>
    <w:rsid w:val="007B4159"/>
    <w:rsid w:val="007B472B"/>
    <w:rsid w:val="007B7E3B"/>
    <w:rsid w:val="007C1E3B"/>
    <w:rsid w:val="007C3C27"/>
    <w:rsid w:val="007C4DEC"/>
    <w:rsid w:val="007C53F0"/>
    <w:rsid w:val="007C57C8"/>
    <w:rsid w:val="007C5ADA"/>
    <w:rsid w:val="007D0888"/>
    <w:rsid w:val="007D4AA2"/>
    <w:rsid w:val="007D7909"/>
    <w:rsid w:val="007E3A6D"/>
    <w:rsid w:val="007E3AB0"/>
    <w:rsid w:val="007E46C1"/>
    <w:rsid w:val="007E4C24"/>
    <w:rsid w:val="007E586C"/>
    <w:rsid w:val="007E7412"/>
    <w:rsid w:val="007F2348"/>
    <w:rsid w:val="00801678"/>
    <w:rsid w:val="008042F5"/>
    <w:rsid w:val="00810F81"/>
    <w:rsid w:val="00813E4E"/>
    <w:rsid w:val="00814B3A"/>
    <w:rsid w:val="00815FB9"/>
    <w:rsid w:val="0082145D"/>
    <w:rsid w:val="0082230A"/>
    <w:rsid w:val="0082415E"/>
    <w:rsid w:val="00825D9C"/>
    <w:rsid w:val="00833A90"/>
    <w:rsid w:val="00837114"/>
    <w:rsid w:val="00837C2A"/>
    <w:rsid w:val="00844CAA"/>
    <w:rsid w:val="00854DCB"/>
    <w:rsid w:val="00855883"/>
    <w:rsid w:val="00856B47"/>
    <w:rsid w:val="00860696"/>
    <w:rsid w:val="00861541"/>
    <w:rsid w:val="0086227B"/>
    <w:rsid w:val="00863492"/>
    <w:rsid w:val="00864739"/>
    <w:rsid w:val="00865826"/>
    <w:rsid w:val="008664DF"/>
    <w:rsid w:val="00867697"/>
    <w:rsid w:val="008747F7"/>
    <w:rsid w:val="00875E5B"/>
    <w:rsid w:val="008838B4"/>
    <w:rsid w:val="0088451A"/>
    <w:rsid w:val="00886073"/>
    <w:rsid w:val="00886EE0"/>
    <w:rsid w:val="00891076"/>
    <w:rsid w:val="00896D5A"/>
    <w:rsid w:val="008A08CD"/>
    <w:rsid w:val="008A5D98"/>
    <w:rsid w:val="008B2284"/>
    <w:rsid w:val="008B4459"/>
    <w:rsid w:val="008B4F90"/>
    <w:rsid w:val="008B5C95"/>
    <w:rsid w:val="008B7FD6"/>
    <w:rsid w:val="008C1797"/>
    <w:rsid w:val="008C3B07"/>
    <w:rsid w:val="008C683A"/>
    <w:rsid w:val="008C71EE"/>
    <w:rsid w:val="008D0ED6"/>
    <w:rsid w:val="008D4964"/>
    <w:rsid w:val="008D6575"/>
    <w:rsid w:val="008D67B2"/>
    <w:rsid w:val="008D7316"/>
    <w:rsid w:val="008E12F8"/>
    <w:rsid w:val="008E1A25"/>
    <w:rsid w:val="008E345D"/>
    <w:rsid w:val="008E74FA"/>
    <w:rsid w:val="008F000A"/>
    <w:rsid w:val="008F0054"/>
    <w:rsid w:val="008F0C5F"/>
    <w:rsid w:val="008F6888"/>
    <w:rsid w:val="009031AA"/>
    <w:rsid w:val="00905459"/>
    <w:rsid w:val="00907313"/>
    <w:rsid w:val="0091057C"/>
    <w:rsid w:val="00912120"/>
    <w:rsid w:val="00913D97"/>
    <w:rsid w:val="00916132"/>
    <w:rsid w:val="00923281"/>
    <w:rsid w:val="00931AE7"/>
    <w:rsid w:val="00936F75"/>
    <w:rsid w:val="009434FA"/>
    <w:rsid w:val="0094350A"/>
    <w:rsid w:val="009438E9"/>
    <w:rsid w:val="00944732"/>
    <w:rsid w:val="00946299"/>
    <w:rsid w:val="00946F4E"/>
    <w:rsid w:val="00947D27"/>
    <w:rsid w:val="0095084C"/>
    <w:rsid w:val="00952876"/>
    <w:rsid w:val="00954DC8"/>
    <w:rsid w:val="00955318"/>
    <w:rsid w:val="00955B6C"/>
    <w:rsid w:val="00956150"/>
    <w:rsid w:val="00960DE9"/>
    <w:rsid w:val="00961647"/>
    <w:rsid w:val="00967575"/>
    <w:rsid w:val="00971E91"/>
    <w:rsid w:val="00972682"/>
    <w:rsid w:val="009735A3"/>
    <w:rsid w:val="00973F3F"/>
    <w:rsid w:val="009775D7"/>
    <w:rsid w:val="00977ED8"/>
    <w:rsid w:val="009807E1"/>
    <w:rsid w:val="0098168E"/>
    <w:rsid w:val="00982C9B"/>
    <w:rsid w:val="00984EF9"/>
    <w:rsid w:val="00985145"/>
    <w:rsid w:val="00986FD5"/>
    <w:rsid w:val="009906F7"/>
    <w:rsid w:val="00992F5F"/>
    <w:rsid w:val="00993407"/>
    <w:rsid w:val="00994634"/>
    <w:rsid w:val="00994BEC"/>
    <w:rsid w:val="00995A8F"/>
    <w:rsid w:val="00995D3E"/>
    <w:rsid w:val="00995F75"/>
    <w:rsid w:val="009965E2"/>
    <w:rsid w:val="00996C72"/>
    <w:rsid w:val="009975D4"/>
    <w:rsid w:val="009976DB"/>
    <w:rsid w:val="00997C3C"/>
    <w:rsid w:val="009A1476"/>
    <w:rsid w:val="009A25DA"/>
    <w:rsid w:val="009A5163"/>
    <w:rsid w:val="009B0D3F"/>
    <w:rsid w:val="009B40CD"/>
    <w:rsid w:val="009C3AB4"/>
    <w:rsid w:val="009C4805"/>
    <w:rsid w:val="009C6F21"/>
    <w:rsid w:val="009C72DE"/>
    <w:rsid w:val="009C7687"/>
    <w:rsid w:val="009C7AE2"/>
    <w:rsid w:val="009D150C"/>
    <w:rsid w:val="009D2166"/>
    <w:rsid w:val="009D4BD9"/>
    <w:rsid w:val="009D603A"/>
    <w:rsid w:val="009E2EA8"/>
    <w:rsid w:val="009E327D"/>
    <w:rsid w:val="009E3478"/>
    <w:rsid w:val="009E558A"/>
    <w:rsid w:val="009E58AE"/>
    <w:rsid w:val="009E683D"/>
    <w:rsid w:val="009F0667"/>
    <w:rsid w:val="009F0CE9"/>
    <w:rsid w:val="009F1548"/>
    <w:rsid w:val="009F3392"/>
    <w:rsid w:val="009F3C1C"/>
    <w:rsid w:val="009F5A39"/>
    <w:rsid w:val="009F61D4"/>
    <w:rsid w:val="00A006C3"/>
    <w:rsid w:val="00A012CE"/>
    <w:rsid w:val="00A01806"/>
    <w:rsid w:val="00A0582F"/>
    <w:rsid w:val="00A05C2F"/>
    <w:rsid w:val="00A11C02"/>
    <w:rsid w:val="00A2136F"/>
    <w:rsid w:val="00A2301A"/>
    <w:rsid w:val="00A4124B"/>
    <w:rsid w:val="00A43418"/>
    <w:rsid w:val="00A46A75"/>
    <w:rsid w:val="00A559B8"/>
    <w:rsid w:val="00A55E71"/>
    <w:rsid w:val="00A57048"/>
    <w:rsid w:val="00A61671"/>
    <w:rsid w:val="00A61E95"/>
    <w:rsid w:val="00A64019"/>
    <w:rsid w:val="00A7355D"/>
    <w:rsid w:val="00A7439F"/>
    <w:rsid w:val="00A75F0A"/>
    <w:rsid w:val="00A7647B"/>
    <w:rsid w:val="00A778C9"/>
    <w:rsid w:val="00A828D3"/>
    <w:rsid w:val="00A90BD6"/>
    <w:rsid w:val="00A9233D"/>
    <w:rsid w:val="00A96118"/>
    <w:rsid w:val="00A96D33"/>
    <w:rsid w:val="00A96F52"/>
    <w:rsid w:val="00AA0690"/>
    <w:rsid w:val="00AA19AA"/>
    <w:rsid w:val="00AA3A1E"/>
    <w:rsid w:val="00AA604B"/>
    <w:rsid w:val="00AA612B"/>
    <w:rsid w:val="00AA736F"/>
    <w:rsid w:val="00AB323C"/>
    <w:rsid w:val="00AB7D67"/>
    <w:rsid w:val="00AC6425"/>
    <w:rsid w:val="00AC77AA"/>
    <w:rsid w:val="00AD0C24"/>
    <w:rsid w:val="00AD0CD4"/>
    <w:rsid w:val="00AD7664"/>
    <w:rsid w:val="00AD7D1F"/>
    <w:rsid w:val="00AE1230"/>
    <w:rsid w:val="00AE1D92"/>
    <w:rsid w:val="00AE486C"/>
    <w:rsid w:val="00AF2454"/>
    <w:rsid w:val="00B02829"/>
    <w:rsid w:val="00B02DB9"/>
    <w:rsid w:val="00B130A2"/>
    <w:rsid w:val="00B16FF2"/>
    <w:rsid w:val="00B20211"/>
    <w:rsid w:val="00B21F20"/>
    <w:rsid w:val="00B224C8"/>
    <w:rsid w:val="00B2311F"/>
    <w:rsid w:val="00B300BB"/>
    <w:rsid w:val="00B30B8A"/>
    <w:rsid w:val="00B433C0"/>
    <w:rsid w:val="00B45854"/>
    <w:rsid w:val="00B51643"/>
    <w:rsid w:val="00B51B39"/>
    <w:rsid w:val="00B530C5"/>
    <w:rsid w:val="00B5341B"/>
    <w:rsid w:val="00B571E6"/>
    <w:rsid w:val="00B619BB"/>
    <w:rsid w:val="00B6488B"/>
    <w:rsid w:val="00B64D9A"/>
    <w:rsid w:val="00B666C9"/>
    <w:rsid w:val="00B67EAB"/>
    <w:rsid w:val="00B7477F"/>
    <w:rsid w:val="00B757FD"/>
    <w:rsid w:val="00B75E8C"/>
    <w:rsid w:val="00B765F9"/>
    <w:rsid w:val="00B76F57"/>
    <w:rsid w:val="00B77CE9"/>
    <w:rsid w:val="00B810A2"/>
    <w:rsid w:val="00B85479"/>
    <w:rsid w:val="00B901F6"/>
    <w:rsid w:val="00B91DA4"/>
    <w:rsid w:val="00B93BBF"/>
    <w:rsid w:val="00B96C3C"/>
    <w:rsid w:val="00BA0E9B"/>
    <w:rsid w:val="00BA3425"/>
    <w:rsid w:val="00BA3A88"/>
    <w:rsid w:val="00BA6579"/>
    <w:rsid w:val="00BA7414"/>
    <w:rsid w:val="00BC4B10"/>
    <w:rsid w:val="00BC4E09"/>
    <w:rsid w:val="00BC4F56"/>
    <w:rsid w:val="00BC6AAB"/>
    <w:rsid w:val="00BD1D31"/>
    <w:rsid w:val="00BE0110"/>
    <w:rsid w:val="00BE2C0F"/>
    <w:rsid w:val="00BF19C8"/>
    <w:rsid w:val="00BF2E3A"/>
    <w:rsid w:val="00BF7B08"/>
    <w:rsid w:val="00C01367"/>
    <w:rsid w:val="00C0569E"/>
    <w:rsid w:val="00C108FD"/>
    <w:rsid w:val="00C10E22"/>
    <w:rsid w:val="00C12650"/>
    <w:rsid w:val="00C13828"/>
    <w:rsid w:val="00C14750"/>
    <w:rsid w:val="00C179F2"/>
    <w:rsid w:val="00C17A28"/>
    <w:rsid w:val="00C23319"/>
    <w:rsid w:val="00C23322"/>
    <w:rsid w:val="00C31483"/>
    <w:rsid w:val="00C32094"/>
    <w:rsid w:val="00C361F6"/>
    <w:rsid w:val="00C364B2"/>
    <w:rsid w:val="00C41A30"/>
    <w:rsid w:val="00C42088"/>
    <w:rsid w:val="00C428C7"/>
    <w:rsid w:val="00C460EB"/>
    <w:rsid w:val="00C51D56"/>
    <w:rsid w:val="00C51F17"/>
    <w:rsid w:val="00C544C6"/>
    <w:rsid w:val="00C55B21"/>
    <w:rsid w:val="00C560C9"/>
    <w:rsid w:val="00C60B3B"/>
    <w:rsid w:val="00C64F16"/>
    <w:rsid w:val="00C66D91"/>
    <w:rsid w:val="00C7094E"/>
    <w:rsid w:val="00C75558"/>
    <w:rsid w:val="00C86B03"/>
    <w:rsid w:val="00C87F44"/>
    <w:rsid w:val="00C93746"/>
    <w:rsid w:val="00C963DF"/>
    <w:rsid w:val="00C97839"/>
    <w:rsid w:val="00CA009D"/>
    <w:rsid w:val="00CA1108"/>
    <w:rsid w:val="00CA5B9B"/>
    <w:rsid w:val="00CA6231"/>
    <w:rsid w:val="00CA7F91"/>
    <w:rsid w:val="00CB2161"/>
    <w:rsid w:val="00CB62B7"/>
    <w:rsid w:val="00CB65D9"/>
    <w:rsid w:val="00CB7D2F"/>
    <w:rsid w:val="00CD15E6"/>
    <w:rsid w:val="00CD3849"/>
    <w:rsid w:val="00CD5928"/>
    <w:rsid w:val="00CE067E"/>
    <w:rsid w:val="00CE1F14"/>
    <w:rsid w:val="00CE3B91"/>
    <w:rsid w:val="00CE4E4E"/>
    <w:rsid w:val="00CF0B61"/>
    <w:rsid w:val="00CF265B"/>
    <w:rsid w:val="00CF4059"/>
    <w:rsid w:val="00CF5535"/>
    <w:rsid w:val="00CF5B5F"/>
    <w:rsid w:val="00CF79FE"/>
    <w:rsid w:val="00D02AEC"/>
    <w:rsid w:val="00D045A8"/>
    <w:rsid w:val="00D05F91"/>
    <w:rsid w:val="00D06793"/>
    <w:rsid w:val="00D069A2"/>
    <w:rsid w:val="00D109F7"/>
    <w:rsid w:val="00D1194E"/>
    <w:rsid w:val="00D17019"/>
    <w:rsid w:val="00D17C43"/>
    <w:rsid w:val="00D24BD9"/>
    <w:rsid w:val="00D30767"/>
    <w:rsid w:val="00D30E50"/>
    <w:rsid w:val="00D343A6"/>
    <w:rsid w:val="00D355BD"/>
    <w:rsid w:val="00D36E88"/>
    <w:rsid w:val="00D407E8"/>
    <w:rsid w:val="00D42A5C"/>
    <w:rsid w:val="00D43587"/>
    <w:rsid w:val="00D51863"/>
    <w:rsid w:val="00D54075"/>
    <w:rsid w:val="00D54590"/>
    <w:rsid w:val="00D55851"/>
    <w:rsid w:val="00D60010"/>
    <w:rsid w:val="00D617B0"/>
    <w:rsid w:val="00D6182B"/>
    <w:rsid w:val="00D626DA"/>
    <w:rsid w:val="00D65225"/>
    <w:rsid w:val="00D65537"/>
    <w:rsid w:val="00D76517"/>
    <w:rsid w:val="00D76EE6"/>
    <w:rsid w:val="00D76F6F"/>
    <w:rsid w:val="00D80B1F"/>
    <w:rsid w:val="00D83159"/>
    <w:rsid w:val="00D8651E"/>
    <w:rsid w:val="00D86C36"/>
    <w:rsid w:val="00D90F31"/>
    <w:rsid w:val="00D92822"/>
    <w:rsid w:val="00DA6545"/>
    <w:rsid w:val="00DA7493"/>
    <w:rsid w:val="00DB4507"/>
    <w:rsid w:val="00DB540E"/>
    <w:rsid w:val="00DC0309"/>
    <w:rsid w:val="00DC4B51"/>
    <w:rsid w:val="00DE18A7"/>
    <w:rsid w:val="00DE4604"/>
    <w:rsid w:val="00DF0177"/>
    <w:rsid w:val="00DF1355"/>
    <w:rsid w:val="00DF1540"/>
    <w:rsid w:val="00DF1B22"/>
    <w:rsid w:val="00DF5468"/>
    <w:rsid w:val="00E0078A"/>
    <w:rsid w:val="00E0146D"/>
    <w:rsid w:val="00E02587"/>
    <w:rsid w:val="00E07C24"/>
    <w:rsid w:val="00E1654E"/>
    <w:rsid w:val="00E17CDE"/>
    <w:rsid w:val="00E17F38"/>
    <w:rsid w:val="00E22516"/>
    <w:rsid w:val="00E229B4"/>
    <w:rsid w:val="00E22D23"/>
    <w:rsid w:val="00E24354"/>
    <w:rsid w:val="00E244AC"/>
    <w:rsid w:val="00E25B44"/>
    <w:rsid w:val="00E26180"/>
    <w:rsid w:val="00E33AA5"/>
    <w:rsid w:val="00E34221"/>
    <w:rsid w:val="00E36A10"/>
    <w:rsid w:val="00E36F0B"/>
    <w:rsid w:val="00E407A8"/>
    <w:rsid w:val="00E4474A"/>
    <w:rsid w:val="00E51037"/>
    <w:rsid w:val="00E54798"/>
    <w:rsid w:val="00E613D4"/>
    <w:rsid w:val="00E63F37"/>
    <w:rsid w:val="00E6685D"/>
    <w:rsid w:val="00E82D93"/>
    <w:rsid w:val="00E84393"/>
    <w:rsid w:val="00E86549"/>
    <w:rsid w:val="00E866D8"/>
    <w:rsid w:val="00E86B7A"/>
    <w:rsid w:val="00E91F32"/>
    <w:rsid w:val="00E96AD6"/>
    <w:rsid w:val="00EA52DC"/>
    <w:rsid w:val="00EB39C7"/>
    <w:rsid w:val="00EB3DFE"/>
    <w:rsid w:val="00EB3EA7"/>
    <w:rsid w:val="00EB6DB7"/>
    <w:rsid w:val="00EC1251"/>
    <w:rsid w:val="00EC4EEC"/>
    <w:rsid w:val="00EC4FDA"/>
    <w:rsid w:val="00EC649A"/>
    <w:rsid w:val="00ED038E"/>
    <w:rsid w:val="00ED07C2"/>
    <w:rsid w:val="00ED1F5D"/>
    <w:rsid w:val="00ED43A1"/>
    <w:rsid w:val="00EE1413"/>
    <w:rsid w:val="00EE1B90"/>
    <w:rsid w:val="00EE1EFF"/>
    <w:rsid w:val="00EE79E0"/>
    <w:rsid w:val="00EF161C"/>
    <w:rsid w:val="00EF412D"/>
    <w:rsid w:val="00EF5479"/>
    <w:rsid w:val="00EF5DE9"/>
    <w:rsid w:val="00EF64D1"/>
    <w:rsid w:val="00EF6737"/>
    <w:rsid w:val="00F04DB9"/>
    <w:rsid w:val="00F05ADB"/>
    <w:rsid w:val="00F10126"/>
    <w:rsid w:val="00F1346E"/>
    <w:rsid w:val="00F158CC"/>
    <w:rsid w:val="00F15BA2"/>
    <w:rsid w:val="00F17765"/>
    <w:rsid w:val="00F17797"/>
    <w:rsid w:val="00F17E86"/>
    <w:rsid w:val="00F2604C"/>
    <w:rsid w:val="00F26486"/>
    <w:rsid w:val="00F31EBF"/>
    <w:rsid w:val="00F33273"/>
    <w:rsid w:val="00F3487A"/>
    <w:rsid w:val="00F53D4C"/>
    <w:rsid w:val="00F544E3"/>
    <w:rsid w:val="00F553F8"/>
    <w:rsid w:val="00F65684"/>
    <w:rsid w:val="00F65D26"/>
    <w:rsid w:val="00F665C7"/>
    <w:rsid w:val="00F66B65"/>
    <w:rsid w:val="00F74A95"/>
    <w:rsid w:val="00F821BE"/>
    <w:rsid w:val="00F849B0"/>
    <w:rsid w:val="00F91A45"/>
    <w:rsid w:val="00F92418"/>
    <w:rsid w:val="00F963CF"/>
    <w:rsid w:val="00F97F17"/>
    <w:rsid w:val="00FA1206"/>
    <w:rsid w:val="00FA486B"/>
    <w:rsid w:val="00FA58C5"/>
    <w:rsid w:val="00FB1392"/>
    <w:rsid w:val="00FB1F55"/>
    <w:rsid w:val="00FB3D74"/>
    <w:rsid w:val="00FC02BE"/>
    <w:rsid w:val="00FC07CA"/>
    <w:rsid w:val="00FC2BCC"/>
    <w:rsid w:val="00FC6287"/>
    <w:rsid w:val="00FD644E"/>
    <w:rsid w:val="00FE31B6"/>
    <w:rsid w:val="00FE54D8"/>
    <w:rsid w:val="00FF0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90F31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71E91"/>
    <w:pPr>
      <w:keepNext/>
      <w:keepLines/>
      <w:numPr>
        <w:numId w:val="10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71E91"/>
    <w:pPr>
      <w:keepNext/>
      <w:keepLines/>
      <w:numPr>
        <w:ilvl w:val="1"/>
        <w:numId w:val="10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71E91"/>
    <w:pPr>
      <w:keepNext/>
      <w:keepLines/>
      <w:numPr>
        <w:ilvl w:val="2"/>
        <w:numId w:val="10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71E91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71E91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71E91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71E91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71E91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71E91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71E91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664DF"/>
    <w:rPr>
      <w:rFonts w:asciiTheme="majorHAnsi" w:eastAsiaTheme="majorEastAsia" w:hAnsiTheme="majorHAnsi" w:cstheme="majorBidi"/>
      <w:b/>
      <w:bCs/>
      <w:color w:val="1D1B11" w:themeColor="background2" w:themeShade="1A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664DF"/>
    <w:rPr>
      <w:rFonts w:asciiTheme="majorHAnsi" w:eastAsiaTheme="majorEastAsia" w:hAnsiTheme="majorHAnsi" w:cstheme="majorBidi"/>
      <w:b/>
      <w:bCs/>
      <w:i/>
      <w:color w:val="1D1B11" w:themeColor="background2" w:themeShade="1A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664D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664DF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664DF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664D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664D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664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007E3F"/>
    <w:pPr>
      <w:spacing w:line="240" w:lineRule="auto"/>
    </w:pPr>
    <w:rPr>
      <w:bCs/>
      <w:color w:val="auto"/>
      <w:sz w:val="18"/>
      <w:szCs w:val="18"/>
    </w:rPr>
  </w:style>
  <w:style w:type="paragraph" w:styleId="KeinLeerraum">
    <w:name w:val="No Spacing"/>
    <w:aliases w:val="Quote"/>
    <w:basedOn w:val="Standard"/>
    <w:next w:val="berschrift2"/>
    <w:link w:val="KeinLeerraumZchn"/>
    <w:autoRedefine/>
    <w:uiPriority w:val="1"/>
    <w:qFormat/>
    <w:rsid w:val="00971E91"/>
    <w:pPr>
      <w:spacing w:before="120"/>
      <w:ind w:left="284" w:right="284"/>
    </w:pPr>
    <w:rPr>
      <w:rFonts w:asciiTheme="majorHAnsi" w:hAnsiTheme="majorHAnsi" w:cs="Arial"/>
      <w:sz w:val="20"/>
      <w:lang w:val="fr-FR"/>
    </w:rPr>
  </w:style>
  <w:style w:type="character" w:customStyle="1" w:styleId="KeinLeerraumZchn">
    <w:name w:val="Kein Leerraum Zchn"/>
    <w:aliases w:val="Quote Zchn"/>
    <w:basedOn w:val="Absatz-Standardschriftart"/>
    <w:link w:val="KeinLeerraum"/>
    <w:uiPriority w:val="1"/>
    <w:rsid w:val="00971E91"/>
    <w:rPr>
      <w:rFonts w:asciiTheme="majorHAnsi" w:hAnsiTheme="majorHAnsi" w:cs="Arial"/>
      <w:color w:val="1D1B11" w:themeColor="background2" w:themeShade="1A"/>
      <w:sz w:val="20"/>
      <w:lang w:val="fr-FR"/>
    </w:rPr>
  </w:style>
  <w:style w:type="paragraph" w:styleId="Listenabsatz">
    <w:name w:val="List Paragraph"/>
    <w:basedOn w:val="Standard"/>
    <w:uiPriority w:val="34"/>
    <w:qFormat/>
    <w:rsid w:val="008664DF"/>
    <w:pPr>
      <w:spacing w:line="276" w:lineRule="auto"/>
      <w:ind w:left="720"/>
      <w:contextualSpacing/>
    </w:pPr>
    <w:rPr>
      <w:rFonts w:asciiTheme="minorHAnsi" w:hAnsiTheme="minorHAnsi"/>
      <w:color w:val="00000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664DF"/>
    <w:pPr>
      <w:numPr>
        <w:numId w:val="0"/>
      </w:numPr>
      <w:spacing w:after="0" w:line="276" w:lineRule="auto"/>
      <w:jc w:val="left"/>
      <w:outlineLvl w:val="9"/>
    </w:pPr>
    <w:rPr>
      <w:color w:val="365F91" w:themeColor="accent1" w:themeShade="BF"/>
    </w:rPr>
  </w:style>
  <w:style w:type="paragraph" w:styleId="Kopfzeile">
    <w:name w:val="header"/>
    <w:basedOn w:val="Standard"/>
    <w:link w:val="KopfzeileZchn"/>
    <w:uiPriority w:val="99"/>
    <w:unhideWhenUsed/>
    <w:rsid w:val="0086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227B"/>
    <w:rPr>
      <w:rFonts w:ascii="Cambria" w:hAnsi="Cambria"/>
      <w:color w:val="1D1B11" w:themeColor="background2" w:themeShade="1A"/>
    </w:rPr>
  </w:style>
  <w:style w:type="paragraph" w:styleId="Fuzeile">
    <w:name w:val="footer"/>
    <w:basedOn w:val="Standard"/>
    <w:link w:val="FuzeileZchn"/>
    <w:uiPriority w:val="99"/>
    <w:unhideWhenUsed/>
    <w:rsid w:val="0086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227B"/>
    <w:rPr>
      <w:rFonts w:ascii="Cambria" w:hAnsi="Cambria"/>
      <w:color w:val="1D1B11" w:themeColor="background2" w:themeShade="1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2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227B"/>
    <w:rPr>
      <w:rFonts w:ascii="Tahoma" w:hAnsi="Tahoma" w:cs="Tahoma"/>
      <w:color w:val="1D1B11" w:themeColor="background2" w:themeShade="1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C7687"/>
    <w:rPr>
      <w:color w:val="0000FF" w:themeColor="hyperlink"/>
      <w:u w:val="single"/>
    </w:rPr>
  </w:style>
  <w:style w:type="character" w:customStyle="1" w:styleId="ipa">
    <w:name w:val="ipa"/>
    <w:basedOn w:val="Absatz-Standardschriftart"/>
    <w:rsid w:val="00790D3B"/>
  </w:style>
  <w:style w:type="table" w:styleId="Tabellengitternetz">
    <w:name w:val="Table Grid"/>
    <w:basedOn w:val="NormaleTabelle"/>
    <w:uiPriority w:val="59"/>
    <w:rsid w:val="00913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Schattierung-Akzent5">
    <w:name w:val="Light Shading Accent 5"/>
    <w:basedOn w:val="NormaleTabelle"/>
    <w:uiPriority w:val="60"/>
    <w:rsid w:val="00E866D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BesuchterHyperlink">
    <w:name w:val="FollowedHyperlink"/>
    <w:basedOn w:val="Absatz-Standardschriftart"/>
    <w:uiPriority w:val="99"/>
    <w:semiHidden/>
    <w:unhideWhenUsed/>
    <w:rsid w:val="007A7FA8"/>
    <w:rPr>
      <w:color w:val="800080" w:themeColor="followedHyperlink"/>
      <w:u w:val="single"/>
    </w:rPr>
  </w:style>
  <w:style w:type="paragraph" w:styleId="Literaturverzeichnis">
    <w:name w:val="Bibliography"/>
    <w:basedOn w:val="Standard"/>
    <w:next w:val="Standard"/>
    <w:uiPriority w:val="37"/>
    <w:unhideWhenUsed/>
    <w:rsid w:val="007A7FA8"/>
  </w:style>
  <w:style w:type="character" w:styleId="Platzhaltertext">
    <w:name w:val="Placeholder Text"/>
    <w:basedOn w:val="Absatz-Standardschriftart"/>
    <w:uiPriority w:val="99"/>
    <w:semiHidden/>
    <w:rsid w:val="0072123D"/>
    <w:rPr>
      <w:color w:val="808080"/>
    </w:rPr>
  </w:style>
  <w:style w:type="table" w:customStyle="1" w:styleId="HelleSchattierung-Akzent11">
    <w:name w:val="Helle Schattierung - Akzent 11"/>
    <w:basedOn w:val="NormaleTabelle"/>
    <w:uiPriority w:val="60"/>
    <w:rsid w:val="00486C9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AA612B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A612B"/>
    <w:rPr>
      <w:rFonts w:ascii="Cambria" w:hAnsi="Cambria"/>
      <w:color w:val="1D1B11" w:themeColor="background2" w:themeShade="1A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AA612B"/>
    <w:rPr>
      <w:vertAlign w:val="superscript"/>
    </w:rPr>
  </w:style>
  <w:style w:type="table" w:styleId="MittlereSchattierung1-Akzent5">
    <w:name w:val="Medium Shading 1 Accent 5"/>
    <w:basedOn w:val="NormaleTabelle"/>
    <w:uiPriority w:val="63"/>
    <w:rsid w:val="00153E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Liste1-Akzent11">
    <w:name w:val="Mittlere Liste 1 - Akzent 11"/>
    <w:basedOn w:val="NormaleTabelle"/>
    <w:uiPriority w:val="65"/>
    <w:rsid w:val="00153EA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HelleSchattierung-Akzent12">
    <w:name w:val="Helle Schattierung - Akzent 12"/>
    <w:basedOn w:val="NormaleTabelle"/>
    <w:uiPriority w:val="60"/>
    <w:rsid w:val="00CA62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tandardWeb">
    <w:name w:val="Normal (Web)"/>
    <w:basedOn w:val="Standard"/>
    <w:uiPriority w:val="99"/>
    <w:semiHidden/>
    <w:unhideWhenUsed/>
    <w:rsid w:val="00434D4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E26180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E26180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9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74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3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57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.wikipedia.org/wiki/H-_und_P-S%C3%A4tze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oleObject" Target="embeddings/oleObject1.bin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emf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Sch111</b:Tag>
    <b:SourceType>Book</b:SourceType>
    <b:Guid>{0A815575-574C-48BD-886F-8834AA84ED39}</b:Guid>
    <b:Author>
      <b:Author>
        <b:NameList>
          <b:Person>
            <b:Last>Schmidkunz</b:Last>
            <b:First>Heinz</b:First>
          </b:Person>
        </b:NameList>
      </b:Author>
    </b:Author>
    <b:Title>Chemische Freihandversuche Band 1</b:Title>
    <b:Year>2011</b:Year>
    <b:City>Hallbergmoos</b:City>
    <b:Publisher>Aulis-Verlag</b:Publisher>
    <b:RefOrder>1</b:RefOrder>
  </b:Source>
  <b:Source>
    <b:Tag>Nor09</b:Tag>
    <b:SourceType>Book</b:SourceType>
    <b:Guid>{4AA0530B-19E0-4FCD-A209-D28A3F109DB3}</b:Guid>
    <b:Title>Skript zum anorganisch-chemischen Grundpraktikum für Lehramtskandidaten</b:Title>
    <b:Year>2009</b:Year>
    <b:Author>
      <b:Author>
        <b:NameList>
          <b:Person>
            <b:Last>Northolz</b:Last>
            <b:First>M.</b:First>
          </b:Person>
          <b:Person>
            <b:Last>Herbst-Irmer</b:Last>
            <b:First>R.</b:First>
          </b:Person>
        </b:NameList>
      </b:Author>
    </b:Author>
    <b:City>Göttingen</b:City>
    <b:Publisher>Universität Göttingen</b:Publisher>
    <b:RefOrder>3</b:RefOrder>
  </b:Source>
  <b:Source>
    <b:Tag>TUD08</b:Tag>
    <b:SourceType>DocumentFromInternetSite</b:SourceType>
    <b:Guid>{FB74C0C3-7B74-4A73-ABE7-B7F8F068AE23}</b:Guid>
    <b:Author>
      <b:Author>
        <b:Corporate>TU Darmstadt, FB Materialwissenschaften</b:Corporate>
      </b:Author>
    </b:Author>
    <b:Title>TU Darmstadt</b:Title>
    <b:Year>2008</b:Year>
    <b:Month>März</b:Month>
    <b:Day>10</b:Day>
    <b:YearAccessed>2011</b:YearAccessed>
    <b:MonthAccessed>September</b:MonthAccessed>
    <b:DayAccessed>07</b:DayAccessed>
    <b:URL>http://www1.tu-darmstadt.de/fb/ms/fg/sf/praktikum/Batterien.pdf</b:URL>
    <b:RefOrder>2</b:RefOrder>
  </b:Source>
  <b:Source>
    <b:Tag>www10</b:Tag>
    <b:SourceType>Misc</b:SourceType>
    <b:Guid>{2BFEAC24-2535-414B-A064-BDB0BE748CEA}</b:Guid>
    <b:Author>
      <b:Author>
        <b:Corporate>www.batterie-info.de</b:Corporate>
      </b:Author>
    </b:Author>
    <b:Title>Knopfzelle</b:Title>
    <b:Year>2010</b:Year>
    <b:Month>Februar</b:Month>
    <b:Day>03</b:Day>
    <b:RefOrder>5</b:RefOrder>
  </b:Source>
  <b:Source>
    <b:Tag>www05</b:Tag>
    <b:SourceType>Misc</b:SourceType>
    <b:Guid>{DE580AC7-712A-4B9A-AF94-C6C46C2675A6}</b:Guid>
    <b:Author>
      <b:Author>
        <b:Corporate>www.4teachers.de</b:Corporate>
      </b:Author>
    </b:Author>
    <b:Title>Erarbeitung des Aufbaus und der Funktionsweise einer Zink-Luft-Batterie als Beispiel für die Umsetzung elektrochemischer Reaktionen in eine technische Anwendung</b:Title>
    <b:Year>2005</b:Year>
    <b:RefOrder>4</b:RefOrder>
  </b:Source>
</b:Sources>
</file>

<file path=customXml/itemProps1.xml><?xml version="1.0" encoding="utf-8"?>
<ds:datastoreItem xmlns:ds="http://schemas.openxmlformats.org/officeDocument/2006/customXml" ds:itemID="{EE597D88-28C5-42EA-B515-E9F14FA0E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Timm</dc:creator>
  <cp:lastModifiedBy>Nadja Felker</cp:lastModifiedBy>
  <cp:revision>19</cp:revision>
  <cp:lastPrinted>2015-07-27T15:01:00Z</cp:lastPrinted>
  <dcterms:created xsi:type="dcterms:W3CDTF">2015-08-27T20:50:00Z</dcterms:created>
  <dcterms:modified xsi:type="dcterms:W3CDTF">2015-08-28T09:17:00Z</dcterms:modified>
</cp:coreProperties>
</file>