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F9" w:rsidRPr="00984EF9" w:rsidRDefault="005324A0" w:rsidP="00BA6B4A">
      <w:pPr>
        <w:pStyle w:val="berschrift2"/>
        <w:numPr>
          <w:ilvl w:val="0"/>
          <w:numId w:val="0"/>
        </w:numPr>
        <w:ind w:left="576" w:hanging="576"/>
      </w:pPr>
      <w:bookmarkStart w:id="0" w:name="_Toc427014294"/>
      <w:r>
        <w:t>Entkalken und Auflösen von Marmor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76F6F" w:rsidRPr="009C5E28" w:rsidTr="009E282C">
        <w:tc>
          <w:tcPr>
            <w:tcW w:w="9322" w:type="dxa"/>
            <w:gridSpan w:val="9"/>
            <w:shd w:val="clear" w:color="auto" w:fill="4F81BD"/>
            <w:vAlign w:val="center"/>
          </w:tcPr>
          <w:p w:rsidR="00D76F6F" w:rsidRPr="00F31EBF" w:rsidRDefault="00D76F6F" w:rsidP="009E282C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bookmarkStart w:id="1" w:name="_Toc425776595"/>
            <w:bookmarkEnd w:id="1"/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D76F6F" w:rsidRPr="009C5E28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5324A0" w:rsidP="00D76F6F">
            <w:pPr>
              <w:spacing w:after="0"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sz w:val="20"/>
              </w:rPr>
              <w:t>Calciumcarbonat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5324A0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 w:rsidR="005324A0"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5324A0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 w:rsidR="005324A0">
              <w:t>-</w:t>
            </w:r>
          </w:p>
        </w:tc>
      </w:tr>
      <w:tr w:rsidR="009E282C" w:rsidRPr="009C5E28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E282C" w:rsidRPr="009C5E28" w:rsidRDefault="009E282C" w:rsidP="009E282C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Marmor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E282C" w:rsidRPr="009C5E28" w:rsidRDefault="009E282C" w:rsidP="009E282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E282C" w:rsidRPr="009C5E28" w:rsidRDefault="009E282C" w:rsidP="009E282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5324A0" w:rsidRPr="009C5E28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24A0" w:rsidRPr="003E558E" w:rsidRDefault="005324A0" w:rsidP="009E282C">
            <w:pPr>
              <w:spacing w:after="0" w:line="276" w:lineRule="auto"/>
              <w:jc w:val="center"/>
              <w:rPr>
                <w:b/>
                <w:bCs/>
              </w:rPr>
            </w:pPr>
            <w:r w:rsidRPr="003E558E">
              <w:t>Essigessenz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24A0" w:rsidRPr="003E558E" w:rsidRDefault="005324A0" w:rsidP="009E282C">
            <w:pPr>
              <w:spacing w:after="0"/>
              <w:jc w:val="center"/>
            </w:pPr>
            <w:r w:rsidRPr="003E558E">
              <w:t>H: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324A0" w:rsidRPr="003E558E" w:rsidRDefault="005324A0" w:rsidP="009E282C">
            <w:pPr>
              <w:spacing w:after="0"/>
              <w:jc w:val="center"/>
            </w:pPr>
            <w:r w:rsidRPr="003E558E">
              <w:t xml:space="preserve">P: </w:t>
            </w:r>
            <w:hyperlink r:id="rId8" w:anchor="P-S.C3.A4tze" w:tooltip="H- und P-Sätze" w:history="1">
              <w:r w:rsidRPr="003E558E">
                <w:rPr>
                  <w:rStyle w:val="Hyperlink"/>
                  <w:color w:val="auto"/>
                  <w:u w:val="none"/>
                </w:rPr>
                <w:t>280</w:t>
              </w:r>
            </w:hyperlink>
            <w:r w:rsidRPr="003E558E">
              <w:t>-​</w:t>
            </w:r>
            <w:hyperlink r:id="rId9" w:anchor="P-S.C3.A4tze" w:tooltip="H- und P-Sätze" w:history="1">
              <w:r w:rsidRPr="003E558E">
                <w:rPr>
                  <w:rStyle w:val="Hyperlink"/>
                  <w:color w:val="auto"/>
                  <w:u w:val="none"/>
                </w:rPr>
                <w:t>301+330+331</w:t>
              </w:r>
            </w:hyperlink>
            <w:r w:rsidRPr="003E558E">
              <w:t>-305+351+338</w:t>
            </w:r>
          </w:p>
        </w:tc>
      </w:tr>
      <w:tr w:rsidR="00D76F6F" w:rsidRPr="009C5E28" w:rsidTr="00D76F6F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D76F6F" w:rsidRPr="009C5E28" w:rsidRDefault="005324A0" w:rsidP="00D76F6F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Zitronenessenz oder Zitrone</w:t>
            </w:r>
            <w:r>
              <w:rPr>
                <w:color w:val="auto"/>
                <w:sz w:val="20"/>
                <w:szCs w:val="20"/>
              </w:rPr>
              <w:t>n</w:t>
            </w:r>
            <w:r>
              <w:rPr>
                <w:color w:val="auto"/>
                <w:sz w:val="20"/>
                <w:szCs w:val="20"/>
              </w:rPr>
              <w:t>saft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D76F6F" w:rsidRPr="009C5E28" w:rsidRDefault="00D76F6F" w:rsidP="005324A0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 w:rsidR="005324A0"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76F6F" w:rsidRPr="009C5E28" w:rsidRDefault="00D76F6F" w:rsidP="005324A0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 w:rsidR="005324A0">
              <w:t>-</w:t>
            </w:r>
          </w:p>
        </w:tc>
      </w:tr>
      <w:tr w:rsidR="00D76F6F" w:rsidRPr="009C5E28" w:rsidTr="00D76F6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1F6" w:rsidRDefault="00B901F6" w:rsidP="00FE71AC">
      <w:pPr>
        <w:tabs>
          <w:tab w:val="left" w:pos="1701"/>
          <w:tab w:val="left" w:pos="1985"/>
        </w:tabs>
        <w:ind w:left="1980" w:hanging="1980"/>
      </w:pPr>
    </w:p>
    <w:p w:rsidR="00A9233D" w:rsidRDefault="008E1A25" w:rsidP="00FE71AC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9E282C">
        <w:t xml:space="preserve">Reagenzgläser, Reagenzglasständer, Becherglas, Gasbrenner, </w:t>
      </w:r>
    </w:p>
    <w:p w:rsidR="008E1A25" w:rsidRPr="00ED07C2" w:rsidRDefault="00A9233D" w:rsidP="00FE71AC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9E282C">
        <w:t xml:space="preserve">Wasser, gepulvertes </w:t>
      </w:r>
      <w:proofErr w:type="spellStart"/>
      <w:r w:rsidR="009E282C">
        <w:t>Calciumcarbonat</w:t>
      </w:r>
      <w:proofErr w:type="spellEnd"/>
      <w:r w:rsidR="009E282C">
        <w:t>, Marmor, Essigessenz, Zitronene</w:t>
      </w:r>
      <w:r w:rsidR="009E282C">
        <w:t>s</w:t>
      </w:r>
      <w:r w:rsidR="009E282C">
        <w:t>senz oder Zitronensaft</w:t>
      </w:r>
    </w:p>
    <w:p w:rsidR="00994634" w:rsidRDefault="008E1A25" w:rsidP="00FE71AC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9E282C">
        <w:t xml:space="preserve">a) In drei Reagenzgläser wird je eine </w:t>
      </w:r>
      <w:proofErr w:type="spellStart"/>
      <w:r w:rsidR="009E282C">
        <w:t>Spatelspitze</w:t>
      </w:r>
      <w:proofErr w:type="spellEnd"/>
      <w:r w:rsidR="009E282C">
        <w:t xml:space="preserve"> gepulvertes </w:t>
      </w:r>
      <w:proofErr w:type="spellStart"/>
      <w:r w:rsidR="009E282C">
        <w:t>Calciumcarbonat</w:t>
      </w:r>
      <w:proofErr w:type="spellEnd"/>
      <w:r w:rsidR="009E282C">
        <w:t xml:space="preserve"> gegeben. Anschließend werden wenige Tropfen Wasser, Essigessenz und Zitronenessenz hinzugefügt.</w:t>
      </w:r>
    </w:p>
    <w:p w:rsidR="009E282C" w:rsidRDefault="009E282C" w:rsidP="00FE71AC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b) Alle drei Lösungen werden erwärmt.</w:t>
      </w:r>
    </w:p>
    <w:p w:rsidR="009E282C" w:rsidRDefault="009E282C" w:rsidP="00FE71AC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c) In ein Becherglas wird ein Stück weißer Marmor gegeben und ca. 10 ml Essigessenz hinzugefügt</w:t>
      </w:r>
    </w:p>
    <w:p w:rsidR="009E282C" w:rsidRDefault="009E282C" w:rsidP="00FE71AC">
      <w:pPr>
        <w:autoSpaceDE w:val="0"/>
        <w:autoSpaceDN w:val="0"/>
        <w:adjustRightInd w:val="0"/>
        <w:spacing w:after="0"/>
        <w:ind w:left="1985" w:hanging="2124"/>
        <w:rPr>
          <w:rFonts w:cs="Cambria"/>
          <w:color w:val="1D1B11"/>
        </w:rPr>
      </w:pPr>
      <w:r>
        <w:t>Beobachtung:</w:t>
      </w:r>
      <w:r>
        <w:tab/>
        <w:t xml:space="preserve">a) </w:t>
      </w:r>
      <w:r>
        <w:rPr>
          <w:rFonts w:cs="Cambria"/>
          <w:color w:val="1D1B11"/>
        </w:rPr>
        <w:t xml:space="preserve">Das </w:t>
      </w:r>
      <w:proofErr w:type="spellStart"/>
      <w:r>
        <w:rPr>
          <w:rFonts w:cs="Cambria"/>
          <w:color w:val="1D1B11"/>
        </w:rPr>
        <w:t>Calciumcarbonatpulver</w:t>
      </w:r>
      <w:proofErr w:type="spellEnd"/>
      <w:r>
        <w:rPr>
          <w:rFonts w:cs="Cambria"/>
          <w:color w:val="1D1B11"/>
        </w:rPr>
        <w:t xml:space="preserve"> löst sich bei Zugabe von Essigessenz und Zitronenessenz unter Gasbildung </w:t>
      </w:r>
      <w:r w:rsidR="009824FE">
        <w:rPr>
          <w:rFonts w:cs="Cambria"/>
          <w:color w:val="1D1B11"/>
        </w:rPr>
        <w:t>vollständig</w:t>
      </w:r>
      <w:r>
        <w:rPr>
          <w:rFonts w:cs="Cambria"/>
          <w:color w:val="1D1B11"/>
        </w:rPr>
        <w:t>. Bei Wasser ist keine Reaktion zu beobachten.</w:t>
      </w:r>
    </w:p>
    <w:p w:rsidR="009E282C" w:rsidRDefault="009E282C" w:rsidP="00FE71AC">
      <w:pPr>
        <w:autoSpaceDE w:val="0"/>
        <w:autoSpaceDN w:val="0"/>
        <w:adjustRightInd w:val="0"/>
        <w:spacing w:after="0"/>
        <w:ind w:left="1985" w:hanging="2124"/>
        <w:rPr>
          <w:rFonts w:cs="Cambria"/>
          <w:color w:val="1D1B11"/>
        </w:rPr>
      </w:pPr>
      <w:r>
        <w:rPr>
          <w:rFonts w:cs="Cambria"/>
          <w:color w:val="1D1B11"/>
        </w:rPr>
        <w:tab/>
      </w:r>
    </w:p>
    <w:p w:rsidR="009E282C" w:rsidRDefault="009E282C" w:rsidP="00FE71AC">
      <w:pPr>
        <w:autoSpaceDE w:val="0"/>
        <w:autoSpaceDN w:val="0"/>
        <w:adjustRightInd w:val="0"/>
        <w:spacing w:after="0"/>
        <w:ind w:left="1985" w:hanging="2124"/>
        <w:rPr>
          <w:rFonts w:cs="Cambria"/>
          <w:color w:val="1D1B11"/>
        </w:rPr>
      </w:pPr>
      <w:r>
        <w:rPr>
          <w:rFonts w:cs="Cambria"/>
          <w:color w:val="1D1B11"/>
        </w:rPr>
        <w:tab/>
        <w:t xml:space="preserve">b) Beim Erhitzen fällt </w:t>
      </w:r>
      <w:r w:rsidR="009824FE">
        <w:rPr>
          <w:rFonts w:cs="Cambria"/>
          <w:color w:val="1D1B11"/>
        </w:rPr>
        <w:t xml:space="preserve">bei der Zitronenessenz </w:t>
      </w:r>
      <w:r>
        <w:rPr>
          <w:rFonts w:cs="Cambria"/>
          <w:color w:val="1D1B11"/>
        </w:rPr>
        <w:t>ein weißer Niederschlag aus.</w:t>
      </w:r>
    </w:p>
    <w:p w:rsidR="009E282C" w:rsidRDefault="009E282C" w:rsidP="00FE71AC">
      <w:pPr>
        <w:autoSpaceDE w:val="0"/>
        <w:autoSpaceDN w:val="0"/>
        <w:adjustRightInd w:val="0"/>
        <w:spacing w:after="0"/>
        <w:ind w:left="1985" w:hanging="2124"/>
        <w:rPr>
          <w:rFonts w:cs="Cambria"/>
          <w:color w:val="1D1B11"/>
        </w:rPr>
      </w:pPr>
    </w:p>
    <w:p w:rsidR="009E282C" w:rsidRDefault="009E282C" w:rsidP="00FE71AC">
      <w:pPr>
        <w:autoSpaceDE w:val="0"/>
        <w:autoSpaceDN w:val="0"/>
        <w:adjustRightInd w:val="0"/>
        <w:spacing w:after="0"/>
        <w:ind w:left="1985" w:hanging="2124"/>
        <w:rPr>
          <w:rFonts w:cs="Cambria"/>
          <w:color w:val="1D1B11"/>
        </w:rPr>
      </w:pPr>
      <w:r>
        <w:rPr>
          <w:rFonts w:cs="Cambria"/>
          <w:color w:val="1D1B11"/>
        </w:rPr>
        <w:tab/>
        <w:t>c) Am Marmor bilden sich Gasbläschen</w:t>
      </w:r>
    </w:p>
    <w:p w:rsidR="009E282C" w:rsidRDefault="009E282C" w:rsidP="009E282C">
      <w:pPr>
        <w:autoSpaceDE w:val="0"/>
        <w:autoSpaceDN w:val="0"/>
        <w:adjustRightInd w:val="0"/>
        <w:spacing w:after="0" w:line="240" w:lineRule="auto"/>
        <w:jc w:val="left"/>
        <w:rPr>
          <w:rFonts w:cs="Cambria"/>
          <w:color w:val="1D1B11"/>
        </w:rPr>
      </w:pPr>
    </w:p>
    <w:p w:rsidR="009E282C" w:rsidRDefault="009E282C" w:rsidP="009E282C">
      <w:pPr>
        <w:autoSpaceDE w:val="0"/>
        <w:autoSpaceDN w:val="0"/>
        <w:adjustRightInd w:val="0"/>
        <w:spacing w:after="0" w:line="240" w:lineRule="auto"/>
        <w:jc w:val="left"/>
        <w:rPr>
          <w:rFonts w:cs="Cambria"/>
          <w:color w:val="1D1B11"/>
        </w:rPr>
      </w:pPr>
    </w:p>
    <w:p w:rsidR="00B901F6" w:rsidRDefault="009E282C" w:rsidP="009E282C">
      <w:pPr>
        <w:autoSpaceDE w:val="0"/>
        <w:autoSpaceDN w:val="0"/>
        <w:adjustRightInd w:val="0"/>
        <w:spacing w:after="0" w:line="240" w:lineRule="auto"/>
        <w:jc w:val="left"/>
        <w:rPr>
          <w:rFonts w:cs="Cambria"/>
          <w:color w:val="1D1B11"/>
        </w:rPr>
      </w:pPr>
      <w:r>
        <w:rPr>
          <w:rFonts w:cs="Cambria"/>
          <w:color w:val="1D1B11"/>
        </w:rPr>
        <w:lastRenderedPageBreak/>
        <w:tab/>
      </w:r>
      <w:r w:rsidR="00DB1B85">
        <w:rPr>
          <w:rFonts w:cs="Cambria"/>
          <w:noProof/>
          <w:color w:val="1D1B11"/>
          <w:lang w:eastAsia="de-DE"/>
        </w:rPr>
        <w:drawing>
          <wp:inline distT="0" distB="0" distL="0" distR="0">
            <wp:extent cx="2523067" cy="1419225"/>
            <wp:effectExtent l="19050" t="0" r="0" b="0"/>
            <wp:docPr id="4" name="Grafik 3" descr="20150807_123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07_123928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550" cy="142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mbria"/>
          <w:color w:val="1D1B11"/>
        </w:rPr>
        <w:tab/>
      </w:r>
      <w:r w:rsidR="00DB1B85">
        <w:rPr>
          <w:noProof/>
          <w:lang w:eastAsia="de-DE"/>
        </w:rPr>
        <w:drawing>
          <wp:inline distT="0" distB="0" distL="0" distR="0">
            <wp:extent cx="2514600" cy="1414462"/>
            <wp:effectExtent l="19050" t="0" r="0" b="0"/>
            <wp:docPr id="5" name="Grafik 4" descr="20150807_124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07_124351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322" cy="141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B85" w:rsidRDefault="00DB1B85" w:rsidP="009E282C">
      <w:pPr>
        <w:autoSpaceDE w:val="0"/>
        <w:autoSpaceDN w:val="0"/>
        <w:adjustRightInd w:val="0"/>
        <w:spacing w:after="0" w:line="240" w:lineRule="auto"/>
        <w:jc w:val="left"/>
      </w:pPr>
    </w:p>
    <w:p w:rsidR="00B901F6" w:rsidRDefault="00B901F6" w:rsidP="00DB1B85">
      <w:pPr>
        <w:pStyle w:val="Beschriftung"/>
        <w:ind w:firstLine="708"/>
        <w:jc w:val="left"/>
      </w:pPr>
      <w:r>
        <w:t xml:space="preserve">Abb. </w:t>
      </w:r>
      <w:fldSimple w:instr=" SEQ Abb. \* ARABIC ">
        <w:r w:rsidR="00401EBE">
          <w:rPr>
            <w:noProof/>
          </w:rPr>
          <w:t>1</w:t>
        </w:r>
      </w:fldSimple>
      <w:r>
        <w:t xml:space="preserve"> - </w:t>
      </w:r>
      <w:r>
        <w:rPr>
          <w:noProof/>
        </w:rPr>
        <w:t xml:space="preserve"> </w:t>
      </w:r>
      <w:r w:rsidR="00DB1B85">
        <w:rPr>
          <w:noProof/>
        </w:rPr>
        <w:t xml:space="preserve">Wasser, Zitronenessenz und Essigessenz (von links nach rechts) vor und nach dem Erhitzen (rechts) </w:t>
      </w:r>
    </w:p>
    <w:p w:rsidR="0009104F" w:rsidRDefault="00DB1B85" w:rsidP="00FE71AC">
      <w:pPr>
        <w:autoSpaceDE w:val="0"/>
        <w:autoSpaceDN w:val="0"/>
        <w:adjustRightInd w:val="0"/>
        <w:spacing w:after="0"/>
        <w:ind w:left="2127" w:hanging="2268"/>
        <w:rPr>
          <w:rFonts w:asciiTheme="majorHAnsi" w:hAnsiTheme="majorHAnsi" w:cs="Cambria"/>
          <w:color w:val="1D1B11"/>
        </w:rPr>
      </w:pPr>
      <w:r>
        <w:t>Deutung:</w:t>
      </w:r>
      <w:r>
        <w:tab/>
      </w:r>
      <w:r w:rsidR="009E282C" w:rsidRPr="009F1519">
        <w:rPr>
          <w:rFonts w:asciiTheme="majorHAnsi" w:hAnsiTheme="majorHAnsi"/>
        </w:rPr>
        <w:t xml:space="preserve">a) </w:t>
      </w:r>
      <w:r w:rsidR="0009104F" w:rsidRPr="009F1519">
        <w:rPr>
          <w:rFonts w:asciiTheme="majorHAnsi" w:hAnsiTheme="majorHAnsi" w:cs="Cambria"/>
          <w:color w:val="1D1B11"/>
        </w:rPr>
        <w:t xml:space="preserve">Die in der Essigessenz erhaltene Essigsäure reagiert mit dem </w:t>
      </w:r>
      <w:proofErr w:type="spellStart"/>
      <w:r w:rsidR="0009104F" w:rsidRPr="009F1519">
        <w:rPr>
          <w:rFonts w:asciiTheme="majorHAnsi" w:hAnsiTheme="majorHAnsi" w:cs="Cambria"/>
          <w:color w:val="1D1B11"/>
        </w:rPr>
        <w:t>Calciumcarbonat</w:t>
      </w:r>
      <w:proofErr w:type="spellEnd"/>
      <w:r w:rsidR="0009104F" w:rsidRPr="009F1519">
        <w:rPr>
          <w:rFonts w:asciiTheme="majorHAnsi" w:hAnsiTheme="majorHAnsi" w:cs="Cambria"/>
          <w:color w:val="1D1B11"/>
        </w:rPr>
        <w:t xml:space="preserve"> zu Wasser, </w:t>
      </w:r>
      <w:proofErr w:type="spellStart"/>
      <w:r w:rsidR="0009104F" w:rsidRPr="009F1519">
        <w:rPr>
          <w:rFonts w:asciiTheme="majorHAnsi" w:hAnsiTheme="majorHAnsi" w:cs="Cambria"/>
          <w:color w:val="1D1B11"/>
        </w:rPr>
        <w:t>Calciumacetat</w:t>
      </w:r>
      <w:proofErr w:type="spellEnd"/>
      <w:r w:rsidR="0009104F" w:rsidRPr="009F1519">
        <w:rPr>
          <w:rFonts w:asciiTheme="majorHAnsi" w:hAnsiTheme="majorHAnsi" w:cs="Cambria"/>
          <w:color w:val="1D1B11"/>
        </w:rPr>
        <w:t xml:space="preserve"> und Kohlenstoffdioxid, we</w:t>
      </w:r>
      <w:r w:rsidR="0009104F" w:rsidRPr="009F1519">
        <w:rPr>
          <w:rFonts w:asciiTheme="majorHAnsi" w:hAnsiTheme="majorHAnsi" w:cs="Cambria"/>
          <w:color w:val="1D1B11"/>
        </w:rPr>
        <w:t>l</w:t>
      </w:r>
      <w:r w:rsidR="0009104F" w:rsidRPr="009F1519">
        <w:rPr>
          <w:rFonts w:asciiTheme="majorHAnsi" w:hAnsiTheme="majorHAnsi" w:cs="Cambria"/>
          <w:color w:val="1D1B11"/>
        </w:rPr>
        <w:t>ches als Gasbläschen sichtbar ist.</w:t>
      </w:r>
      <w:r w:rsidR="009824FE">
        <w:rPr>
          <w:rFonts w:asciiTheme="majorHAnsi" w:hAnsiTheme="majorHAnsi" w:cs="Cambria"/>
          <w:color w:val="1D1B11"/>
        </w:rPr>
        <w:t xml:space="preserve"> </w:t>
      </w:r>
      <w:r w:rsidR="009824FE" w:rsidRPr="00E602D2">
        <w:rPr>
          <w:rFonts w:asciiTheme="majorHAnsi" w:eastAsiaTheme="minorEastAsia" w:hAnsiTheme="majorHAnsi"/>
        </w:rPr>
        <w:t>Reaktion mit Essigessenz:</w:t>
      </w:r>
    </w:p>
    <w:p w:rsidR="009824FE" w:rsidRDefault="009824FE" w:rsidP="00FE71AC">
      <w:pPr>
        <w:autoSpaceDE w:val="0"/>
        <w:autoSpaceDN w:val="0"/>
        <w:adjustRightInd w:val="0"/>
        <w:spacing w:after="0"/>
        <w:ind w:left="2127" w:hanging="2268"/>
        <w:rPr>
          <w:rFonts w:asciiTheme="majorHAnsi" w:hAnsiTheme="majorHAnsi" w:cs="Cambria"/>
          <w:color w:val="1D1B11"/>
        </w:rPr>
      </w:pPr>
    </w:p>
    <w:p w:rsidR="009824FE" w:rsidRPr="00E602D2" w:rsidRDefault="009824FE" w:rsidP="009824FE">
      <w:pPr>
        <w:autoSpaceDE w:val="0"/>
        <w:autoSpaceDN w:val="0"/>
        <w:adjustRightInd w:val="0"/>
        <w:spacing w:after="0"/>
        <w:ind w:left="2126" w:hanging="3"/>
        <w:rPr>
          <w:rFonts w:asciiTheme="majorHAnsi" w:eastAsiaTheme="minorEastAsia" w:hAnsiTheme="majorHAnsi"/>
          <w:vertAlign w:val="subscript"/>
          <w:lang w:val="pt-BR"/>
        </w:rPr>
      </w:pPr>
      <w:r w:rsidRPr="00E602D2">
        <w:rPr>
          <w:rFonts w:asciiTheme="majorHAnsi" w:eastAsiaTheme="minorEastAsia" w:hAnsiTheme="majorHAnsi"/>
          <w:lang w:val="pt-BR"/>
        </w:rPr>
        <w:t>CaCO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3</w:t>
      </w:r>
      <w:r w:rsidRPr="00E602D2">
        <w:rPr>
          <w:rFonts w:asciiTheme="majorHAnsi" w:eastAsiaTheme="minorEastAsia" w:hAnsiTheme="majorHAnsi"/>
          <w:lang w:val="pt-BR"/>
        </w:rPr>
        <w:t xml:space="preserve"> + 2 H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3</w:t>
      </w:r>
      <w:r w:rsidRPr="00E602D2">
        <w:rPr>
          <w:rFonts w:asciiTheme="majorHAnsi" w:eastAsiaTheme="minorEastAsia" w:hAnsiTheme="majorHAnsi"/>
          <w:lang w:val="pt-BR"/>
        </w:rPr>
        <w:t>C-COOH   →  (H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3</w:t>
      </w:r>
      <w:r w:rsidRPr="00E602D2">
        <w:rPr>
          <w:rFonts w:asciiTheme="majorHAnsi" w:eastAsiaTheme="minorEastAsia" w:hAnsiTheme="majorHAnsi"/>
          <w:lang w:val="pt-BR"/>
        </w:rPr>
        <w:t>C-COO)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2</w:t>
      </w:r>
      <w:r w:rsidRPr="00E602D2">
        <w:rPr>
          <w:rFonts w:asciiTheme="majorHAnsi" w:eastAsiaTheme="minorEastAsia" w:hAnsiTheme="majorHAnsi"/>
          <w:lang w:val="pt-BR"/>
        </w:rPr>
        <w:t>Ca + H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2</w:t>
      </w:r>
      <w:r w:rsidRPr="00E602D2">
        <w:rPr>
          <w:rFonts w:asciiTheme="majorHAnsi" w:eastAsiaTheme="minorEastAsia" w:hAnsiTheme="majorHAnsi"/>
          <w:lang w:val="pt-BR"/>
        </w:rPr>
        <w:t>O + CO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2</w:t>
      </w:r>
    </w:p>
    <w:p w:rsidR="0009104F" w:rsidRPr="00BA6B4A" w:rsidRDefault="0009104F" w:rsidP="00FE71AC">
      <w:pPr>
        <w:autoSpaceDE w:val="0"/>
        <w:autoSpaceDN w:val="0"/>
        <w:adjustRightInd w:val="0"/>
        <w:spacing w:after="0"/>
        <w:ind w:left="2829" w:hanging="2829"/>
        <w:rPr>
          <w:rFonts w:asciiTheme="majorHAnsi" w:eastAsiaTheme="minorEastAsia" w:hAnsiTheme="majorHAnsi"/>
        </w:rPr>
      </w:pPr>
    </w:p>
    <w:p w:rsidR="0009104F" w:rsidRPr="00E602D2" w:rsidRDefault="0009104F" w:rsidP="00FE71AC">
      <w:pPr>
        <w:autoSpaceDE w:val="0"/>
        <w:autoSpaceDN w:val="0"/>
        <w:adjustRightInd w:val="0"/>
        <w:spacing w:after="0"/>
        <w:ind w:left="2126" w:hanging="2829"/>
        <w:rPr>
          <w:rFonts w:asciiTheme="majorHAnsi" w:eastAsiaTheme="minorEastAsia" w:hAnsiTheme="majorHAnsi"/>
        </w:rPr>
      </w:pPr>
      <w:r w:rsidRPr="00BA6B4A">
        <w:rPr>
          <w:rFonts w:asciiTheme="majorHAnsi" w:eastAsiaTheme="minorEastAsia" w:hAnsiTheme="majorHAnsi"/>
        </w:rPr>
        <w:tab/>
      </w:r>
      <w:r w:rsidRPr="009F1519">
        <w:rPr>
          <w:rFonts w:asciiTheme="majorHAnsi" w:eastAsiaTheme="minorEastAsia" w:hAnsiTheme="majorHAnsi"/>
        </w:rPr>
        <w:t xml:space="preserve">Auch die Zitronensäure reagiert mit dem </w:t>
      </w:r>
      <w:proofErr w:type="spellStart"/>
      <w:r w:rsidRPr="009F1519">
        <w:rPr>
          <w:rFonts w:asciiTheme="majorHAnsi" w:eastAsiaTheme="minorEastAsia" w:hAnsiTheme="majorHAnsi"/>
        </w:rPr>
        <w:t>Calciumcarbonat</w:t>
      </w:r>
      <w:proofErr w:type="spellEnd"/>
      <w:r w:rsidRPr="009F1519">
        <w:rPr>
          <w:rFonts w:asciiTheme="majorHAnsi" w:eastAsiaTheme="minorEastAsia" w:hAnsiTheme="majorHAnsi"/>
        </w:rPr>
        <w:t xml:space="preserve"> bei </w:t>
      </w:r>
      <w:r w:rsidRPr="00E602D2">
        <w:rPr>
          <w:rFonts w:asciiTheme="majorHAnsi" w:eastAsiaTheme="minorEastAsia" w:hAnsiTheme="majorHAnsi"/>
        </w:rPr>
        <w:t xml:space="preserve">Raumtemperatur zu Wasser, Kohlenstoffdioxid und </w:t>
      </w:r>
      <w:proofErr w:type="spellStart"/>
      <w:r w:rsidRPr="00E602D2">
        <w:rPr>
          <w:rFonts w:asciiTheme="majorHAnsi" w:eastAsiaTheme="minorEastAsia" w:hAnsiTheme="majorHAnsi"/>
        </w:rPr>
        <w:t>Calciumdicitrat</w:t>
      </w:r>
      <w:proofErr w:type="spellEnd"/>
      <w:r w:rsidRPr="00E602D2">
        <w:rPr>
          <w:rFonts w:asciiTheme="majorHAnsi" w:eastAsiaTheme="minorEastAsia" w:hAnsiTheme="majorHAnsi"/>
        </w:rPr>
        <w:t xml:space="preserve">. </w:t>
      </w:r>
    </w:p>
    <w:p w:rsidR="0070473A" w:rsidRPr="00E602D2" w:rsidRDefault="0070473A" w:rsidP="009824FE">
      <w:pPr>
        <w:autoSpaceDE w:val="0"/>
        <w:autoSpaceDN w:val="0"/>
        <w:adjustRightInd w:val="0"/>
        <w:spacing w:after="0"/>
        <w:ind w:left="2126" w:hanging="2829"/>
        <w:rPr>
          <w:rFonts w:asciiTheme="majorHAnsi" w:eastAsiaTheme="minorEastAsia" w:hAnsiTheme="majorHAnsi"/>
          <w:lang w:val="pt-BR"/>
        </w:rPr>
      </w:pPr>
      <w:r w:rsidRPr="00E602D2">
        <w:rPr>
          <w:rFonts w:asciiTheme="majorHAnsi" w:eastAsiaTheme="minorEastAsia" w:hAnsiTheme="majorHAnsi"/>
        </w:rPr>
        <w:tab/>
      </w:r>
      <w:r w:rsidRPr="00E602D2">
        <w:rPr>
          <w:rFonts w:asciiTheme="majorHAnsi" w:eastAsiaTheme="minorEastAsia" w:hAnsiTheme="majorHAnsi"/>
          <w:lang w:val="pt-BR"/>
        </w:rPr>
        <w:t>Reaktion mit Citronensäure:</w:t>
      </w:r>
    </w:p>
    <w:p w:rsidR="00E602D2" w:rsidRPr="00E602D2" w:rsidRDefault="00E602D2" w:rsidP="00FE71AC">
      <w:pPr>
        <w:autoSpaceDE w:val="0"/>
        <w:autoSpaceDN w:val="0"/>
        <w:adjustRightInd w:val="0"/>
        <w:spacing w:after="0"/>
        <w:ind w:left="2126" w:hanging="3"/>
        <w:rPr>
          <w:rFonts w:asciiTheme="majorHAnsi" w:eastAsiaTheme="minorEastAsia" w:hAnsiTheme="majorHAnsi"/>
          <w:lang w:val="pt-BR"/>
        </w:rPr>
      </w:pPr>
    </w:p>
    <w:p w:rsidR="0070473A" w:rsidRPr="00E602D2" w:rsidRDefault="0070473A" w:rsidP="00FE71AC">
      <w:pPr>
        <w:autoSpaceDE w:val="0"/>
        <w:autoSpaceDN w:val="0"/>
        <w:adjustRightInd w:val="0"/>
        <w:spacing w:after="0"/>
        <w:ind w:left="2126" w:hanging="3"/>
        <w:rPr>
          <w:rFonts w:asciiTheme="majorHAnsi" w:eastAsiaTheme="minorEastAsia" w:hAnsiTheme="majorHAnsi"/>
          <w:lang w:val="en-US"/>
        </w:rPr>
      </w:pPr>
      <w:r w:rsidRPr="00E602D2">
        <w:rPr>
          <w:rFonts w:asciiTheme="majorHAnsi" w:eastAsiaTheme="minorEastAsia" w:hAnsiTheme="majorHAnsi"/>
          <w:lang w:val="pt-BR"/>
        </w:rPr>
        <w:t>2 C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6</w:t>
      </w:r>
      <w:r w:rsidRPr="00E602D2">
        <w:rPr>
          <w:rFonts w:asciiTheme="majorHAnsi" w:eastAsiaTheme="minorEastAsia" w:hAnsiTheme="majorHAnsi"/>
          <w:lang w:val="pt-BR"/>
        </w:rPr>
        <w:t>H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2</w:t>
      </w:r>
      <w:r w:rsidRPr="00E602D2">
        <w:rPr>
          <w:rFonts w:asciiTheme="majorHAnsi" w:eastAsiaTheme="minorEastAsia" w:hAnsiTheme="majorHAnsi"/>
          <w:lang w:val="pt-BR"/>
        </w:rPr>
        <w:t>O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7 (aq)</w:t>
      </w:r>
      <w:r w:rsidRPr="00E602D2">
        <w:rPr>
          <w:rFonts w:asciiTheme="majorHAnsi" w:eastAsiaTheme="minorEastAsia" w:hAnsiTheme="majorHAnsi"/>
          <w:lang w:val="pt-BR"/>
        </w:rPr>
        <w:t xml:space="preserve"> + 3 CaCO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3 (</w:t>
      </w:r>
      <w:r w:rsidR="00E602D2" w:rsidRPr="00E602D2">
        <w:rPr>
          <w:rFonts w:asciiTheme="majorHAnsi" w:eastAsiaTheme="minorEastAsia" w:hAnsiTheme="majorHAnsi"/>
          <w:vertAlign w:val="subscript"/>
          <w:lang w:val="pt-BR"/>
        </w:rPr>
        <w:t>s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)</w:t>
      </w:r>
      <w:r w:rsidRPr="00E602D2">
        <w:rPr>
          <w:rFonts w:asciiTheme="majorHAnsi" w:eastAsiaTheme="minorEastAsia" w:hAnsiTheme="majorHAnsi"/>
          <w:lang w:val="pt-BR"/>
        </w:rPr>
        <w:t xml:space="preserve"> → 3 H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2</w:t>
      </w:r>
      <w:r w:rsidRPr="00E602D2">
        <w:rPr>
          <w:rFonts w:asciiTheme="majorHAnsi" w:eastAsiaTheme="minorEastAsia" w:hAnsiTheme="majorHAnsi"/>
          <w:lang w:val="pt-BR"/>
        </w:rPr>
        <w:t>O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(l)</w:t>
      </w:r>
      <w:r w:rsidRPr="00E602D2">
        <w:rPr>
          <w:rFonts w:asciiTheme="majorHAnsi" w:eastAsiaTheme="minorEastAsia" w:hAnsiTheme="majorHAnsi"/>
          <w:lang w:val="pt-BR"/>
        </w:rPr>
        <w:t xml:space="preserve"> + 3 CO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2 (g)</w:t>
      </w:r>
      <w:r w:rsidRPr="00E602D2">
        <w:rPr>
          <w:rFonts w:asciiTheme="majorHAnsi" w:eastAsiaTheme="minorEastAsia" w:hAnsiTheme="majorHAnsi"/>
          <w:lang w:val="pt-BR"/>
        </w:rPr>
        <w:t xml:space="preserve"> + [Ca(Cit)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 xml:space="preserve"> 2</w:t>
      </w:r>
      <w:r w:rsidRPr="00E602D2">
        <w:rPr>
          <w:rFonts w:asciiTheme="majorHAnsi" w:eastAsiaTheme="minorEastAsia" w:hAnsiTheme="majorHAnsi"/>
          <w:lang w:val="pt-BR"/>
        </w:rPr>
        <w:t>]</w:t>
      </w:r>
      <w:r w:rsidRPr="00E602D2">
        <w:rPr>
          <w:rFonts w:asciiTheme="majorHAnsi" w:eastAsiaTheme="minorEastAsia" w:hAnsiTheme="majorHAnsi"/>
          <w:vertAlign w:val="superscript"/>
          <w:lang w:val="pt-BR"/>
        </w:rPr>
        <w:t>4-</w:t>
      </w:r>
      <w:r w:rsidRPr="00E602D2">
        <w:rPr>
          <w:rFonts w:asciiTheme="majorHAnsi" w:eastAsiaTheme="minorEastAsia" w:hAnsiTheme="majorHAnsi"/>
          <w:vertAlign w:val="subscript"/>
          <w:lang w:val="en-US"/>
        </w:rPr>
        <w:t>(</w:t>
      </w:r>
      <w:proofErr w:type="spellStart"/>
      <w:r w:rsidRPr="00E602D2">
        <w:rPr>
          <w:rFonts w:asciiTheme="majorHAnsi" w:eastAsiaTheme="minorEastAsia" w:hAnsiTheme="majorHAnsi"/>
          <w:vertAlign w:val="subscript"/>
          <w:lang w:val="en-US"/>
        </w:rPr>
        <w:t>aq</w:t>
      </w:r>
      <w:proofErr w:type="spellEnd"/>
      <w:r w:rsidRPr="00E602D2">
        <w:rPr>
          <w:rFonts w:asciiTheme="majorHAnsi" w:eastAsiaTheme="minorEastAsia" w:hAnsiTheme="majorHAnsi"/>
          <w:vertAlign w:val="subscript"/>
          <w:lang w:val="en-US"/>
        </w:rPr>
        <w:t>)</w:t>
      </w:r>
      <w:r w:rsidRPr="00E602D2">
        <w:rPr>
          <w:rFonts w:asciiTheme="majorHAnsi" w:eastAsiaTheme="minorEastAsia" w:hAnsiTheme="majorHAnsi"/>
          <w:lang w:val="en-US"/>
        </w:rPr>
        <w:t xml:space="preserve"> + 2 Ca</w:t>
      </w:r>
      <w:r w:rsidRPr="00E602D2">
        <w:rPr>
          <w:rFonts w:asciiTheme="majorHAnsi" w:eastAsiaTheme="minorEastAsia" w:hAnsiTheme="majorHAnsi"/>
          <w:vertAlign w:val="superscript"/>
          <w:lang w:val="pt-BR"/>
        </w:rPr>
        <w:t xml:space="preserve">2+ </w:t>
      </w:r>
      <w:r w:rsidRPr="00E602D2">
        <w:rPr>
          <w:rFonts w:asciiTheme="majorHAnsi" w:eastAsiaTheme="minorEastAsia" w:hAnsiTheme="majorHAnsi"/>
          <w:vertAlign w:val="subscript"/>
          <w:lang w:val="en-US"/>
        </w:rPr>
        <w:t>(</w:t>
      </w:r>
      <w:proofErr w:type="spellStart"/>
      <w:r w:rsidRPr="00E602D2">
        <w:rPr>
          <w:rFonts w:asciiTheme="majorHAnsi" w:eastAsiaTheme="minorEastAsia" w:hAnsiTheme="majorHAnsi"/>
          <w:vertAlign w:val="subscript"/>
          <w:lang w:val="en-US"/>
        </w:rPr>
        <w:t>aq</w:t>
      </w:r>
      <w:proofErr w:type="spellEnd"/>
      <w:r w:rsidRPr="00E602D2">
        <w:rPr>
          <w:rFonts w:asciiTheme="majorHAnsi" w:eastAsiaTheme="minorEastAsia" w:hAnsiTheme="majorHAnsi"/>
          <w:vertAlign w:val="subscript"/>
          <w:lang w:val="en-US"/>
        </w:rPr>
        <w:t>)</w:t>
      </w:r>
    </w:p>
    <w:p w:rsidR="0009104F" w:rsidRPr="00E602D2" w:rsidRDefault="0009104F" w:rsidP="00FE71AC">
      <w:pPr>
        <w:autoSpaceDE w:val="0"/>
        <w:autoSpaceDN w:val="0"/>
        <w:adjustRightInd w:val="0"/>
        <w:spacing w:after="0"/>
        <w:ind w:left="2126" w:hanging="2829"/>
        <w:rPr>
          <w:rFonts w:asciiTheme="majorHAnsi" w:eastAsiaTheme="minorEastAsia" w:hAnsiTheme="majorHAnsi"/>
          <w:lang w:val="en-US"/>
        </w:rPr>
      </w:pPr>
    </w:p>
    <w:p w:rsidR="0009104F" w:rsidRPr="00E602D2" w:rsidRDefault="0009104F" w:rsidP="00FE71AC">
      <w:pPr>
        <w:autoSpaceDE w:val="0"/>
        <w:autoSpaceDN w:val="0"/>
        <w:adjustRightInd w:val="0"/>
        <w:spacing w:after="0"/>
        <w:ind w:left="2126" w:hanging="2829"/>
        <w:rPr>
          <w:rFonts w:asciiTheme="majorHAnsi" w:eastAsiaTheme="minorEastAsia" w:hAnsiTheme="majorHAnsi"/>
        </w:rPr>
      </w:pPr>
      <w:r w:rsidRPr="00E602D2">
        <w:rPr>
          <w:rFonts w:asciiTheme="majorHAnsi" w:eastAsiaTheme="minorEastAsia" w:hAnsiTheme="majorHAnsi"/>
          <w:lang w:val="en-US"/>
        </w:rPr>
        <w:tab/>
      </w:r>
      <w:r w:rsidR="009824FE">
        <w:rPr>
          <w:rFonts w:asciiTheme="majorHAnsi" w:eastAsiaTheme="minorEastAsia" w:hAnsiTheme="majorHAnsi"/>
        </w:rPr>
        <w:t xml:space="preserve">b) Bei der Erwärmung </w:t>
      </w:r>
      <w:r w:rsidRPr="00E602D2">
        <w:rPr>
          <w:rFonts w:asciiTheme="majorHAnsi" w:eastAsiaTheme="minorEastAsia" w:hAnsiTheme="majorHAnsi"/>
        </w:rPr>
        <w:t>der Lösu</w:t>
      </w:r>
      <w:r w:rsidR="009824FE">
        <w:rPr>
          <w:rFonts w:asciiTheme="majorHAnsi" w:eastAsiaTheme="minorEastAsia" w:hAnsiTheme="majorHAnsi"/>
        </w:rPr>
        <w:t xml:space="preserve">ng mit Zitronensäure fällt das </w:t>
      </w:r>
      <w:r w:rsidRPr="00E602D2">
        <w:rPr>
          <w:rFonts w:asciiTheme="majorHAnsi" w:eastAsiaTheme="minorEastAsia" w:hAnsiTheme="majorHAnsi"/>
        </w:rPr>
        <w:t xml:space="preserve">schwer lösliche </w:t>
      </w:r>
      <w:proofErr w:type="spellStart"/>
      <w:r w:rsidRPr="00E602D2">
        <w:rPr>
          <w:rFonts w:asciiTheme="majorHAnsi" w:eastAsiaTheme="minorEastAsia" w:hAnsiTheme="majorHAnsi"/>
        </w:rPr>
        <w:t>Calciumcitrat</w:t>
      </w:r>
      <w:proofErr w:type="spellEnd"/>
      <w:r w:rsidR="009F1519" w:rsidRPr="00E602D2">
        <w:rPr>
          <w:rFonts w:asciiTheme="majorHAnsi" w:eastAsiaTheme="minorEastAsia" w:hAnsiTheme="majorHAnsi"/>
        </w:rPr>
        <w:t xml:space="preserve"> aus.</w:t>
      </w:r>
    </w:p>
    <w:p w:rsidR="00E602D2" w:rsidRPr="00E602D2" w:rsidRDefault="00E602D2" w:rsidP="00FE71AC">
      <w:pPr>
        <w:autoSpaceDE w:val="0"/>
        <w:autoSpaceDN w:val="0"/>
        <w:adjustRightInd w:val="0"/>
        <w:spacing w:after="0"/>
        <w:ind w:left="2126" w:hanging="2829"/>
        <w:rPr>
          <w:rFonts w:asciiTheme="majorHAnsi" w:eastAsiaTheme="minorEastAsia" w:hAnsiTheme="majorHAnsi"/>
          <w:lang w:val="en-US"/>
        </w:rPr>
      </w:pPr>
      <w:r w:rsidRPr="00E602D2">
        <w:rPr>
          <w:rFonts w:asciiTheme="majorHAnsi" w:eastAsiaTheme="minorEastAsia" w:hAnsiTheme="majorHAnsi"/>
        </w:rPr>
        <w:tab/>
      </w:r>
      <w:r w:rsidRPr="00E602D2">
        <w:rPr>
          <w:rFonts w:asciiTheme="majorHAnsi" w:eastAsiaTheme="minorEastAsia" w:hAnsiTheme="majorHAnsi"/>
          <w:lang w:val="pt-BR"/>
        </w:rPr>
        <w:t>[Ca(Cit)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 xml:space="preserve"> 2</w:t>
      </w:r>
      <w:r w:rsidRPr="00E602D2">
        <w:rPr>
          <w:rFonts w:asciiTheme="majorHAnsi" w:eastAsiaTheme="minorEastAsia" w:hAnsiTheme="majorHAnsi"/>
          <w:lang w:val="pt-BR"/>
        </w:rPr>
        <w:t>]</w:t>
      </w:r>
      <w:r w:rsidRPr="00E602D2">
        <w:rPr>
          <w:rFonts w:asciiTheme="majorHAnsi" w:eastAsiaTheme="minorEastAsia" w:hAnsiTheme="majorHAnsi"/>
          <w:vertAlign w:val="superscript"/>
          <w:lang w:val="pt-BR"/>
        </w:rPr>
        <w:t>4-</w:t>
      </w:r>
      <w:r w:rsidRPr="00E602D2">
        <w:rPr>
          <w:rFonts w:asciiTheme="majorHAnsi" w:eastAsiaTheme="minorEastAsia" w:hAnsiTheme="majorHAnsi"/>
          <w:vertAlign w:val="subscript"/>
          <w:lang w:val="en-US"/>
        </w:rPr>
        <w:t>(</w:t>
      </w:r>
      <w:proofErr w:type="spellStart"/>
      <w:r w:rsidRPr="00E602D2">
        <w:rPr>
          <w:rFonts w:asciiTheme="majorHAnsi" w:eastAsiaTheme="minorEastAsia" w:hAnsiTheme="majorHAnsi"/>
          <w:vertAlign w:val="subscript"/>
          <w:lang w:val="en-US"/>
        </w:rPr>
        <w:t>aq</w:t>
      </w:r>
      <w:proofErr w:type="spellEnd"/>
      <w:r w:rsidRPr="00E602D2">
        <w:rPr>
          <w:rFonts w:asciiTheme="majorHAnsi" w:eastAsiaTheme="minorEastAsia" w:hAnsiTheme="majorHAnsi"/>
          <w:vertAlign w:val="subscript"/>
          <w:lang w:val="en-US"/>
        </w:rPr>
        <w:t>)</w:t>
      </w:r>
      <w:r w:rsidRPr="00E602D2">
        <w:rPr>
          <w:rFonts w:asciiTheme="majorHAnsi" w:eastAsiaTheme="minorEastAsia" w:hAnsiTheme="majorHAnsi"/>
          <w:lang w:val="en-US"/>
        </w:rPr>
        <w:t xml:space="preserve"> + 2 Ca</w:t>
      </w:r>
      <w:r w:rsidRPr="00E602D2">
        <w:rPr>
          <w:rFonts w:asciiTheme="majorHAnsi" w:eastAsiaTheme="minorEastAsia" w:hAnsiTheme="majorHAnsi"/>
          <w:vertAlign w:val="superscript"/>
          <w:lang w:val="pt-BR"/>
        </w:rPr>
        <w:t xml:space="preserve">2+ </w:t>
      </w:r>
      <w:r w:rsidRPr="00E602D2">
        <w:rPr>
          <w:rFonts w:asciiTheme="majorHAnsi" w:eastAsiaTheme="minorEastAsia" w:hAnsiTheme="majorHAnsi"/>
          <w:vertAlign w:val="subscript"/>
          <w:lang w:val="en-US"/>
        </w:rPr>
        <w:t>(</w:t>
      </w:r>
      <w:proofErr w:type="spellStart"/>
      <w:r w:rsidRPr="00E602D2">
        <w:rPr>
          <w:rFonts w:asciiTheme="majorHAnsi" w:eastAsiaTheme="minorEastAsia" w:hAnsiTheme="majorHAnsi"/>
          <w:vertAlign w:val="subscript"/>
          <w:lang w:val="en-US"/>
        </w:rPr>
        <w:t>aq</w:t>
      </w:r>
      <w:proofErr w:type="spellEnd"/>
      <w:r w:rsidRPr="00E602D2">
        <w:rPr>
          <w:rFonts w:asciiTheme="majorHAnsi" w:eastAsiaTheme="minorEastAsia" w:hAnsiTheme="majorHAnsi"/>
          <w:vertAlign w:val="subscript"/>
          <w:lang w:val="en-US"/>
        </w:rPr>
        <w:t xml:space="preserve">) </w:t>
      </w:r>
      <w:r w:rsidRPr="00E602D2">
        <w:rPr>
          <w:rFonts w:asciiTheme="majorHAnsi" w:eastAsiaTheme="minorEastAsia" w:hAnsiTheme="majorHAnsi"/>
          <w:lang w:val="en-US"/>
        </w:rPr>
        <w:t>→ Ca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 xml:space="preserve">3 </w:t>
      </w:r>
      <w:r w:rsidRPr="00E602D2">
        <w:rPr>
          <w:rFonts w:asciiTheme="majorHAnsi" w:eastAsiaTheme="minorEastAsia" w:hAnsiTheme="majorHAnsi"/>
          <w:lang w:val="en-US"/>
        </w:rPr>
        <w:t>(Cit)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 xml:space="preserve"> 2</w:t>
      </w:r>
      <w:r w:rsidRPr="00E602D2">
        <w:rPr>
          <w:rFonts w:asciiTheme="majorHAnsi" w:eastAsiaTheme="minorEastAsia" w:hAnsiTheme="majorHAnsi"/>
          <w:vertAlign w:val="subscript"/>
          <w:lang w:val="en-US"/>
        </w:rPr>
        <w:t>(s)</w:t>
      </w:r>
    </w:p>
    <w:p w:rsidR="0009104F" w:rsidRPr="00E602D2" w:rsidRDefault="0009104F" w:rsidP="00FE71AC">
      <w:pPr>
        <w:autoSpaceDE w:val="0"/>
        <w:autoSpaceDN w:val="0"/>
        <w:adjustRightInd w:val="0"/>
        <w:spacing w:after="0"/>
        <w:ind w:left="2832" w:hanging="2832"/>
        <w:rPr>
          <w:rFonts w:asciiTheme="majorHAnsi" w:eastAsiaTheme="minorEastAsia" w:hAnsiTheme="majorHAnsi"/>
          <w:color w:val="1D1B11"/>
          <w:lang w:val="en-US"/>
        </w:rPr>
      </w:pPr>
    </w:p>
    <w:p w:rsidR="006E32AF" w:rsidRPr="009F1519" w:rsidRDefault="00074A34" w:rsidP="00FE71AC">
      <w:pPr>
        <w:tabs>
          <w:tab w:val="left" w:pos="1701"/>
          <w:tab w:val="left" w:pos="1985"/>
        </w:tabs>
        <w:ind w:left="2124" w:hanging="2124"/>
        <w:rPr>
          <w:rFonts w:eastAsiaTheme="minorEastAsia"/>
          <w:color w:val="000000" w:themeColor="text1"/>
        </w:rPr>
      </w:pPr>
      <w:r w:rsidRPr="00E602D2">
        <w:rPr>
          <w:lang w:val="en-US"/>
        </w:rPr>
        <w:tab/>
      </w:r>
      <w:r w:rsidRPr="00E602D2">
        <w:rPr>
          <w:lang w:val="en-US"/>
        </w:rPr>
        <w:tab/>
      </w:r>
      <w:r w:rsidRPr="00E602D2">
        <w:rPr>
          <w:lang w:val="en-US"/>
        </w:rPr>
        <w:tab/>
      </w:r>
      <w:r w:rsidR="0009104F">
        <w:t xml:space="preserve">c) Weißer Marmor besteht hauptsächlich aus </w:t>
      </w:r>
      <w:proofErr w:type="spellStart"/>
      <w:r w:rsidR="0009104F">
        <w:t>Calciumcarbonat</w:t>
      </w:r>
      <w:proofErr w:type="spellEnd"/>
      <w:r w:rsidR="0009104F">
        <w:t xml:space="preserve">. Dieser reagiert nach Zugabe von Essigsäure zu </w:t>
      </w:r>
      <w:proofErr w:type="spellStart"/>
      <w:r w:rsidR="0009104F">
        <w:t>Calciumacetat</w:t>
      </w:r>
      <w:proofErr w:type="spellEnd"/>
      <w:r w:rsidR="0009104F">
        <w:t xml:space="preserve">, Wasser und </w:t>
      </w:r>
      <w:r w:rsidR="0009104F" w:rsidRPr="009F1519">
        <w:rPr>
          <w:color w:val="000000" w:themeColor="text1"/>
        </w:rPr>
        <w:t>Ko</w:t>
      </w:r>
      <w:r w:rsidR="0009104F" w:rsidRPr="009F1519">
        <w:rPr>
          <w:color w:val="000000" w:themeColor="text1"/>
        </w:rPr>
        <w:t>h</w:t>
      </w:r>
      <w:r w:rsidR="0009104F" w:rsidRPr="009F1519">
        <w:rPr>
          <w:color w:val="000000" w:themeColor="text1"/>
        </w:rPr>
        <w:t>lenstoffdioxid.</w:t>
      </w:r>
    </w:p>
    <w:p w:rsidR="00216E3C" w:rsidRPr="009F1519" w:rsidRDefault="0009104F" w:rsidP="00FE71AC">
      <w:pPr>
        <w:ind w:left="2124" w:hanging="2124"/>
        <w:rPr>
          <w:color w:val="000000" w:themeColor="text1"/>
        </w:rPr>
      </w:pPr>
      <w:r w:rsidRPr="009F1519">
        <w:rPr>
          <w:color w:val="000000" w:themeColor="text1"/>
        </w:rPr>
        <w:t>Entsorgung:</w:t>
      </w:r>
      <w:r w:rsidRPr="009F1519">
        <w:rPr>
          <w:color w:val="000000" w:themeColor="text1"/>
        </w:rPr>
        <w:tab/>
        <w:t xml:space="preserve"> Die Lösungen können im Abfluss entsorgt werden. Das Marmorstück kann wieder benutzt werden.</w:t>
      </w:r>
      <w:r w:rsidR="00216E3C" w:rsidRPr="009F1519">
        <w:rPr>
          <w:color w:val="000000" w:themeColor="text1"/>
        </w:rPr>
        <w:t xml:space="preserve"> </w:t>
      </w:r>
    </w:p>
    <w:p w:rsidR="005B60E3" w:rsidRPr="009F1519" w:rsidRDefault="00F17765" w:rsidP="009F1519">
      <w:pPr>
        <w:spacing w:line="276" w:lineRule="auto"/>
        <w:jc w:val="left"/>
        <w:rPr>
          <w:color w:val="000000" w:themeColor="text1"/>
        </w:rPr>
      </w:pPr>
      <w:r w:rsidRPr="009F1519">
        <w:rPr>
          <w:color w:val="000000" w:themeColor="text1"/>
        </w:rPr>
        <w:t>Literatur:</w:t>
      </w:r>
      <w:r w:rsidRPr="009F1519">
        <w:rPr>
          <w:color w:val="000000" w:themeColor="text1"/>
        </w:rPr>
        <w:tab/>
      </w:r>
      <w:r w:rsidRPr="009F1519">
        <w:rPr>
          <w:color w:val="000000" w:themeColor="text1"/>
        </w:rPr>
        <w:tab/>
      </w:r>
      <w:r w:rsidR="009F1519" w:rsidRPr="009F1519">
        <w:rPr>
          <w:color w:val="000000" w:themeColor="text1"/>
        </w:rPr>
        <w:t>Nach:</w:t>
      </w:r>
    </w:p>
    <w:p w:rsidR="009F1519" w:rsidRDefault="009F1519" w:rsidP="009F1519">
      <w:pPr>
        <w:autoSpaceDE w:val="0"/>
        <w:autoSpaceDN w:val="0"/>
        <w:adjustRightInd w:val="0"/>
        <w:spacing w:after="0"/>
        <w:ind w:left="2126" w:firstLine="6"/>
        <w:jc w:val="left"/>
        <w:rPr>
          <w:rFonts w:cs="Cambria"/>
          <w:color w:val="000000" w:themeColor="text1"/>
        </w:rPr>
      </w:pPr>
      <w:r w:rsidRPr="009F1519">
        <w:rPr>
          <w:rFonts w:cs="Cambria"/>
          <w:color w:val="000000" w:themeColor="text1"/>
        </w:rPr>
        <w:t xml:space="preserve">D. </w:t>
      </w:r>
      <w:proofErr w:type="spellStart"/>
      <w:r w:rsidRPr="009F1519">
        <w:rPr>
          <w:rFonts w:cs="Cambria"/>
          <w:color w:val="000000" w:themeColor="text1"/>
        </w:rPr>
        <w:t>Wiechoczek</w:t>
      </w:r>
      <w:proofErr w:type="spellEnd"/>
      <w:r w:rsidRPr="009F1519">
        <w:rPr>
          <w:rFonts w:cs="Cambria"/>
          <w:color w:val="000000" w:themeColor="text1"/>
        </w:rPr>
        <w:t>, http://www.chemieunterricht.de/dc2/citrone/c_v34.htm, 08.02.2005 (Zuletzt abgerufen am 09.08.2015 um 19:40 Uhr).</w:t>
      </w:r>
    </w:p>
    <w:sectPr w:rsidR="009F1519" w:rsidSect="005B0270"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836" w:rsidRDefault="00EC3836" w:rsidP="0086227B">
      <w:pPr>
        <w:spacing w:after="0" w:line="240" w:lineRule="auto"/>
      </w:pPr>
      <w:r>
        <w:separator/>
      </w:r>
    </w:p>
  </w:endnote>
  <w:endnote w:type="continuationSeparator" w:id="0">
    <w:p w:rsidR="00EC3836" w:rsidRDefault="00EC3836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836" w:rsidRDefault="00EC3836" w:rsidP="0086227B">
      <w:pPr>
        <w:spacing w:after="0" w:line="240" w:lineRule="auto"/>
      </w:pPr>
      <w:r>
        <w:separator/>
      </w:r>
    </w:p>
  </w:footnote>
  <w:footnote w:type="continuationSeparator" w:id="0">
    <w:p w:rsidR="00EC3836" w:rsidRDefault="00EC3836" w:rsidP="0086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7E3F"/>
    <w:rsid w:val="00011800"/>
    <w:rsid w:val="000137A3"/>
    <w:rsid w:val="00014E7D"/>
    <w:rsid w:val="00020F71"/>
    <w:rsid w:val="0002182B"/>
    <w:rsid w:val="00022871"/>
    <w:rsid w:val="00041562"/>
    <w:rsid w:val="00056798"/>
    <w:rsid w:val="0006287D"/>
    <w:rsid w:val="0006684E"/>
    <w:rsid w:val="00066DE1"/>
    <w:rsid w:val="00067AEC"/>
    <w:rsid w:val="00072812"/>
    <w:rsid w:val="00074A34"/>
    <w:rsid w:val="0007729E"/>
    <w:rsid w:val="0009104F"/>
    <w:rsid w:val="000972FF"/>
    <w:rsid w:val="000B0523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2481E"/>
    <w:rsid w:val="00125CEA"/>
    <w:rsid w:val="0013621E"/>
    <w:rsid w:val="00153EA8"/>
    <w:rsid w:val="00157F3D"/>
    <w:rsid w:val="001A7524"/>
    <w:rsid w:val="001B46E0"/>
    <w:rsid w:val="001C5EFC"/>
    <w:rsid w:val="00206D6B"/>
    <w:rsid w:val="00213874"/>
    <w:rsid w:val="00216E3C"/>
    <w:rsid w:val="0023241F"/>
    <w:rsid w:val="002347FE"/>
    <w:rsid w:val="002375EF"/>
    <w:rsid w:val="00254F3F"/>
    <w:rsid w:val="00270289"/>
    <w:rsid w:val="00270719"/>
    <w:rsid w:val="00275A3C"/>
    <w:rsid w:val="0028080E"/>
    <w:rsid w:val="0028646F"/>
    <w:rsid w:val="002944CF"/>
    <w:rsid w:val="002A716F"/>
    <w:rsid w:val="002A7855"/>
    <w:rsid w:val="002B0B14"/>
    <w:rsid w:val="002C4B67"/>
    <w:rsid w:val="002E0F34"/>
    <w:rsid w:val="002E2DD3"/>
    <w:rsid w:val="002E38A0"/>
    <w:rsid w:val="002E5FCC"/>
    <w:rsid w:val="002F25D2"/>
    <w:rsid w:val="002F38EE"/>
    <w:rsid w:val="0033677B"/>
    <w:rsid w:val="00336B3B"/>
    <w:rsid w:val="00337B69"/>
    <w:rsid w:val="00344BB7"/>
    <w:rsid w:val="00345293"/>
    <w:rsid w:val="00345F54"/>
    <w:rsid w:val="00350DA0"/>
    <w:rsid w:val="0038284A"/>
    <w:rsid w:val="003837C2"/>
    <w:rsid w:val="00384682"/>
    <w:rsid w:val="003B49C6"/>
    <w:rsid w:val="003C5747"/>
    <w:rsid w:val="003D529E"/>
    <w:rsid w:val="003E69AB"/>
    <w:rsid w:val="00401750"/>
    <w:rsid w:val="00401EBE"/>
    <w:rsid w:val="004039F1"/>
    <w:rsid w:val="004102B8"/>
    <w:rsid w:val="0041565C"/>
    <w:rsid w:val="00434D4E"/>
    <w:rsid w:val="00434F30"/>
    <w:rsid w:val="00442EB1"/>
    <w:rsid w:val="00486C9F"/>
    <w:rsid w:val="0049087A"/>
    <w:rsid w:val="004944F3"/>
    <w:rsid w:val="004A5BEF"/>
    <w:rsid w:val="004B200E"/>
    <w:rsid w:val="004B3E0E"/>
    <w:rsid w:val="004B5C64"/>
    <w:rsid w:val="004C64A6"/>
    <w:rsid w:val="004D2994"/>
    <w:rsid w:val="004D321A"/>
    <w:rsid w:val="004F1A17"/>
    <w:rsid w:val="00503C6A"/>
    <w:rsid w:val="005115B1"/>
    <w:rsid w:val="00511B2E"/>
    <w:rsid w:val="005131C3"/>
    <w:rsid w:val="005228A9"/>
    <w:rsid w:val="005240FE"/>
    <w:rsid w:val="00526F69"/>
    <w:rsid w:val="00530A18"/>
    <w:rsid w:val="005324A0"/>
    <w:rsid w:val="00532CD5"/>
    <w:rsid w:val="00544922"/>
    <w:rsid w:val="005650D4"/>
    <w:rsid w:val="005669B2"/>
    <w:rsid w:val="00573704"/>
    <w:rsid w:val="00574063"/>
    <w:rsid w:val="005745F8"/>
    <w:rsid w:val="0057596C"/>
    <w:rsid w:val="00576C62"/>
    <w:rsid w:val="00591B02"/>
    <w:rsid w:val="00595177"/>
    <w:rsid w:val="005978FA"/>
    <w:rsid w:val="005A2E89"/>
    <w:rsid w:val="005B0270"/>
    <w:rsid w:val="005B1F71"/>
    <w:rsid w:val="005B23FC"/>
    <w:rsid w:val="005B60E3"/>
    <w:rsid w:val="005E1939"/>
    <w:rsid w:val="005E3970"/>
    <w:rsid w:val="005F2176"/>
    <w:rsid w:val="00626874"/>
    <w:rsid w:val="00631F0F"/>
    <w:rsid w:val="00634D11"/>
    <w:rsid w:val="00637239"/>
    <w:rsid w:val="0064172D"/>
    <w:rsid w:val="00654117"/>
    <w:rsid w:val="00672281"/>
    <w:rsid w:val="00681739"/>
    <w:rsid w:val="00690534"/>
    <w:rsid w:val="006943C9"/>
    <w:rsid w:val="006968E6"/>
    <w:rsid w:val="006A0F35"/>
    <w:rsid w:val="006B3EC2"/>
    <w:rsid w:val="006C5B0D"/>
    <w:rsid w:val="006C7B24"/>
    <w:rsid w:val="006D2AFF"/>
    <w:rsid w:val="006E32AF"/>
    <w:rsid w:val="006E451C"/>
    <w:rsid w:val="006F4715"/>
    <w:rsid w:val="0070473A"/>
    <w:rsid w:val="00707392"/>
    <w:rsid w:val="0072123D"/>
    <w:rsid w:val="00746773"/>
    <w:rsid w:val="00750830"/>
    <w:rsid w:val="00775EEC"/>
    <w:rsid w:val="0078071E"/>
    <w:rsid w:val="007858D5"/>
    <w:rsid w:val="00790D3B"/>
    <w:rsid w:val="007A7FA8"/>
    <w:rsid w:val="007B65E9"/>
    <w:rsid w:val="007E586C"/>
    <w:rsid w:val="007E5C46"/>
    <w:rsid w:val="007E7412"/>
    <w:rsid w:val="007F2348"/>
    <w:rsid w:val="00801678"/>
    <w:rsid w:val="008042F5"/>
    <w:rsid w:val="00815FB9"/>
    <w:rsid w:val="0082230A"/>
    <w:rsid w:val="00837114"/>
    <w:rsid w:val="0086227B"/>
    <w:rsid w:val="008664DF"/>
    <w:rsid w:val="00875E5B"/>
    <w:rsid w:val="0088451A"/>
    <w:rsid w:val="00886EE0"/>
    <w:rsid w:val="00896D5A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905459"/>
    <w:rsid w:val="00913D97"/>
    <w:rsid w:val="00935D37"/>
    <w:rsid w:val="00936F75"/>
    <w:rsid w:val="0094350A"/>
    <w:rsid w:val="00946F4E"/>
    <w:rsid w:val="00954DC8"/>
    <w:rsid w:val="00961647"/>
    <w:rsid w:val="00965F5C"/>
    <w:rsid w:val="00971E91"/>
    <w:rsid w:val="009735A3"/>
    <w:rsid w:val="00973F3F"/>
    <w:rsid w:val="009775D7"/>
    <w:rsid w:val="00977ED8"/>
    <w:rsid w:val="0098168E"/>
    <w:rsid w:val="009824FE"/>
    <w:rsid w:val="00984EF9"/>
    <w:rsid w:val="00993407"/>
    <w:rsid w:val="00994634"/>
    <w:rsid w:val="009B0D3F"/>
    <w:rsid w:val="009C6F21"/>
    <w:rsid w:val="009C7687"/>
    <w:rsid w:val="009D150C"/>
    <w:rsid w:val="009D4BD9"/>
    <w:rsid w:val="009E282C"/>
    <w:rsid w:val="009F0667"/>
    <w:rsid w:val="009F0CE9"/>
    <w:rsid w:val="009F1519"/>
    <w:rsid w:val="009F5A39"/>
    <w:rsid w:val="009F61D4"/>
    <w:rsid w:val="00A006C3"/>
    <w:rsid w:val="00A012CE"/>
    <w:rsid w:val="00A0582F"/>
    <w:rsid w:val="00A05C2F"/>
    <w:rsid w:val="00A14261"/>
    <w:rsid w:val="00A2136F"/>
    <w:rsid w:val="00A2301A"/>
    <w:rsid w:val="00A313AA"/>
    <w:rsid w:val="00A61671"/>
    <w:rsid w:val="00A7439F"/>
    <w:rsid w:val="00A75F0A"/>
    <w:rsid w:val="00A76684"/>
    <w:rsid w:val="00A778C9"/>
    <w:rsid w:val="00A90BD6"/>
    <w:rsid w:val="00A9233D"/>
    <w:rsid w:val="00A96F52"/>
    <w:rsid w:val="00AA604B"/>
    <w:rsid w:val="00AA612B"/>
    <w:rsid w:val="00AD0C24"/>
    <w:rsid w:val="00AD7D1F"/>
    <w:rsid w:val="00AE1230"/>
    <w:rsid w:val="00AE3A40"/>
    <w:rsid w:val="00B02829"/>
    <w:rsid w:val="00B21F20"/>
    <w:rsid w:val="00B433C0"/>
    <w:rsid w:val="00B51643"/>
    <w:rsid w:val="00B51B39"/>
    <w:rsid w:val="00B571E6"/>
    <w:rsid w:val="00B619BB"/>
    <w:rsid w:val="00B901F6"/>
    <w:rsid w:val="00B93BBF"/>
    <w:rsid w:val="00B96C3C"/>
    <w:rsid w:val="00BA0E9B"/>
    <w:rsid w:val="00BA6B4A"/>
    <w:rsid w:val="00BC4F56"/>
    <w:rsid w:val="00BD1D31"/>
    <w:rsid w:val="00BF2E3A"/>
    <w:rsid w:val="00BF7B08"/>
    <w:rsid w:val="00C0569E"/>
    <w:rsid w:val="00C10E22"/>
    <w:rsid w:val="00C12650"/>
    <w:rsid w:val="00C23319"/>
    <w:rsid w:val="00C364B2"/>
    <w:rsid w:val="00C428C7"/>
    <w:rsid w:val="00C460EB"/>
    <w:rsid w:val="00C51D56"/>
    <w:rsid w:val="00C64ECD"/>
    <w:rsid w:val="00C66D91"/>
    <w:rsid w:val="00C77A5B"/>
    <w:rsid w:val="00CA6231"/>
    <w:rsid w:val="00CB2161"/>
    <w:rsid w:val="00CE1F14"/>
    <w:rsid w:val="00CF0B61"/>
    <w:rsid w:val="00CF79FE"/>
    <w:rsid w:val="00D069A2"/>
    <w:rsid w:val="00D1194E"/>
    <w:rsid w:val="00D407E8"/>
    <w:rsid w:val="00D54590"/>
    <w:rsid w:val="00D60010"/>
    <w:rsid w:val="00D76EE6"/>
    <w:rsid w:val="00D76F6F"/>
    <w:rsid w:val="00D90F31"/>
    <w:rsid w:val="00D92822"/>
    <w:rsid w:val="00DA6545"/>
    <w:rsid w:val="00DB1B85"/>
    <w:rsid w:val="00DC0309"/>
    <w:rsid w:val="00DE18A7"/>
    <w:rsid w:val="00E17CDE"/>
    <w:rsid w:val="00E22516"/>
    <w:rsid w:val="00E22D23"/>
    <w:rsid w:val="00E24354"/>
    <w:rsid w:val="00E26180"/>
    <w:rsid w:val="00E51037"/>
    <w:rsid w:val="00E54798"/>
    <w:rsid w:val="00E602D2"/>
    <w:rsid w:val="00E84393"/>
    <w:rsid w:val="00E866D8"/>
    <w:rsid w:val="00E91F32"/>
    <w:rsid w:val="00E96AD6"/>
    <w:rsid w:val="00EB3DFE"/>
    <w:rsid w:val="00EB3EA7"/>
    <w:rsid w:val="00EB6DB7"/>
    <w:rsid w:val="00EC3836"/>
    <w:rsid w:val="00ED07C2"/>
    <w:rsid w:val="00ED1F5D"/>
    <w:rsid w:val="00EE1EFF"/>
    <w:rsid w:val="00EE79E0"/>
    <w:rsid w:val="00EF161C"/>
    <w:rsid w:val="00EF5479"/>
    <w:rsid w:val="00F06347"/>
    <w:rsid w:val="00F17765"/>
    <w:rsid w:val="00F17797"/>
    <w:rsid w:val="00F2604C"/>
    <w:rsid w:val="00F26486"/>
    <w:rsid w:val="00F31EBF"/>
    <w:rsid w:val="00F3487A"/>
    <w:rsid w:val="00F74A95"/>
    <w:rsid w:val="00F849B0"/>
    <w:rsid w:val="00FA486B"/>
    <w:rsid w:val="00FA58C5"/>
    <w:rsid w:val="00FB3C43"/>
    <w:rsid w:val="00FB3D74"/>
    <w:rsid w:val="00FC02BE"/>
    <w:rsid w:val="00FD644E"/>
    <w:rsid w:val="00FE54D8"/>
    <w:rsid w:val="00FE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H-_und_P-S%C3%A4tze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1AAF5D9C-DFA0-435C-8939-37E4088B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Jens-Uwe</cp:lastModifiedBy>
  <cp:revision>19</cp:revision>
  <cp:lastPrinted>2015-08-10T22:05:00Z</cp:lastPrinted>
  <dcterms:created xsi:type="dcterms:W3CDTF">2015-07-28T08:50:00Z</dcterms:created>
  <dcterms:modified xsi:type="dcterms:W3CDTF">2015-08-28T11:04:00Z</dcterms:modified>
</cp:coreProperties>
</file>