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17" w:rsidRDefault="00D43D17" w:rsidP="00D43D17">
      <w:pPr>
        <w:pStyle w:val="berschrift1"/>
        <w:spacing w:before="360" w:after="240"/>
        <w:ind w:left="432"/>
      </w:pPr>
      <w:bookmarkStart w:id="0" w:name="_Toc426996037"/>
      <w:bookmarkStart w:id="1" w:name="_GoBack"/>
      <w:bookmarkEnd w:id="1"/>
      <w:r>
        <w:t>Lehrerversuch – Herstellung Schwefliger Säure</w:t>
      </w:r>
      <w:bookmarkEnd w:id="0"/>
    </w:p>
    <w:p w:rsidR="00D43D17" w:rsidRDefault="00D43D17" w:rsidP="00D43D17">
      <w:pPr>
        <w:pStyle w:val="berschrift2"/>
      </w:pPr>
      <w:bookmarkStart w:id="2" w:name="_Toc425776595"/>
      <w:bookmarkStart w:id="3" w:name="_Toc426884194"/>
      <w:bookmarkStart w:id="4" w:name="_Toc426996038"/>
      <w:r>
        <w:rPr>
          <w:noProof/>
          <w:lang w:eastAsia="de-DE"/>
        </w:rPr>
        <mc:AlternateContent>
          <mc:Choice Requires="wps">
            <w:drawing>
              <wp:anchor distT="0" distB="0" distL="114300" distR="114300" simplePos="0" relativeHeight="251659264" behindDoc="0" locked="0" layoutInCell="1" allowOverlap="1" wp14:anchorId="7A9A1EB6" wp14:editId="05992295">
                <wp:simplePos x="0" y="0"/>
                <wp:positionH relativeFrom="column">
                  <wp:posOffset>-635</wp:posOffset>
                </wp:positionH>
                <wp:positionV relativeFrom="paragraph">
                  <wp:posOffset>26670</wp:posOffset>
                </wp:positionV>
                <wp:extent cx="5873115" cy="796925"/>
                <wp:effectExtent l="13335" t="10160" r="9525" b="1206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3D17" w:rsidRPr="00F31EBF" w:rsidRDefault="00D43D17" w:rsidP="00D43D17">
                            <w:pPr>
                              <w:rPr>
                                <w:color w:val="auto"/>
                              </w:rPr>
                            </w:pPr>
                            <w:r>
                              <w:rPr>
                                <w:color w:val="auto"/>
                              </w:rPr>
                              <w:t xml:space="preserve">Dieser Versuch beschäftigt sich mit der der Reaktion eines Nichtmetalloxids mit Wasser unter Bildung einer Säure. </w:t>
                            </w:r>
                            <w:proofErr w:type="spellStart"/>
                            <w:r>
                              <w:rPr>
                                <w:color w:val="auto"/>
                              </w:rPr>
                              <w:t>SuS</w:t>
                            </w:r>
                            <w:proofErr w:type="spellEnd"/>
                            <w:r>
                              <w:rPr>
                                <w:color w:val="auto"/>
                              </w:rPr>
                              <w:t xml:space="preserve"> sollten bereits die Funktion von Indikatoren (Universalindikator oder Lackmus) kennen, um saure bzw. alkalische Lösungen nachzuweisen.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9A1EB6" id="_x0000_t202" coordsize="21600,21600" o:spt="202" path="m,l,21600r21600,l21600,xe">
                <v:stroke joinstyle="miter"/>
                <v:path gradientshapeok="t" o:connecttype="rect"/>
              </v:shapetype>
              <v:shape id="Textfeld 3" o:spid="_x0000_s1026"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" fillcolor="white [3201]" strokecolor="#4472c4 [3208]" strokeweight="1pt">
                <v:stroke dashstyle="dash"/>
                <v:shadow color="#868686"/>
                <v:textbox>
                  <w:txbxContent>
                    <w:p w:rsidR="00D43D17" w:rsidRPr="00F31EBF" w:rsidRDefault="00D43D17" w:rsidP="00D43D17">
                      <w:pPr>
                        <w:rPr>
                          <w:color w:val="auto"/>
                        </w:rPr>
                      </w:pPr>
                      <w:r>
                        <w:rPr>
                          <w:color w:val="auto"/>
                        </w:rPr>
                        <w:t xml:space="preserve">Dieser Versuch beschäftigt sich mit der der Reaktion eines Nichtmetalloxids mit Wasser unter Bildung einer Säure. </w:t>
                      </w:r>
                      <w:proofErr w:type="spellStart"/>
                      <w:r>
                        <w:rPr>
                          <w:color w:val="auto"/>
                        </w:rPr>
                        <w:t>SuS</w:t>
                      </w:r>
                      <w:proofErr w:type="spellEnd"/>
                      <w:r>
                        <w:rPr>
                          <w:color w:val="auto"/>
                        </w:rPr>
                        <w:t xml:space="preserve"> sollten bereits die Funktion von Indikatoren (Universalindikator oder Lackmus) kennen, um saure bzw. alkalische Lösungen nachzuweisen.</w:t>
                      </w:r>
                    </w:p>
                  </w:txbxContent>
                </v:textbox>
                <w10:wrap type="square"/>
              </v:shape>
            </w:pict>
          </mc:Fallback>
        </mc:AlternateContent>
      </w:r>
      <w:bookmarkEnd w:id="2"/>
      <w:bookmarkEnd w:id="3"/>
      <w:bookmarkEnd w:id="4"/>
    </w:p>
    <w:tbl>
      <w:tblPr>
        <w:tblStyle w:val="HelleListe-Akzent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43D17" w:rsidRPr="009C5E28" w:rsidTr="00C26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rsidR="00D43D17" w:rsidRPr="00F31EBF" w:rsidRDefault="00D43D17" w:rsidP="00C262F4">
            <w:pPr>
              <w:jc w:val="center"/>
              <w:rPr>
                <w:b w:val="0"/>
                <w:bCs w:val="0"/>
                <w:color w:val="FFFFFF" w:themeColor="background1"/>
              </w:rPr>
            </w:pPr>
            <w:r w:rsidRPr="00F31EBF">
              <w:rPr>
                <w:color w:val="FFFFFF" w:themeColor="background1"/>
              </w:rPr>
              <w:t>Gefahrenstoffe</w:t>
            </w:r>
          </w:p>
        </w:tc>
      </w:tr>
      <w:tr w:rsidR="00D43D17" w:rsidRPr="009C5E28" w:rsidTr="00C262F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tcPr>
          <w:p w:rsidR="00D43D17" w:rsidRPr="001171B0" w:rsidRDefault="00D43D17" w:rsidP="00C262F4">
            <w:pPr>
              <w:spacing w:line="276" w:lineRule="auto"/>
              <w:jc w:val="center"/>
              <w:rPr>
                <w:b w:val="0"/>
                <w:bCs w:val="0"/>
                <w:sz w:val="20"/>
                <w:szCs w:val="20"/>
              </w:rPr>
            </w:pPr>
            <w:r w:rsidRPr="001171B0">
              <w:rPr>
                <w:b w:val="0"/>
                <w:sz w:val="20"/>
                <w:szCs w:val="20"/>
              </w:rPr>
              <w:t>Schwefel</w:t>
            </w:r>
          </w:p>
        </w:tc>
        <w:tc>
          <w:tcPr>
            <w:tcW w:w="3177" w:type="dxa"/>
            <w:gridSpan w:val="3"/>
          </w:tcPr>
          <w:p w:rsidR="00D43D17" w:rsidRPr="001171B0" w:rsidRDefault="00D43D17" w:rsidP="00C262F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H: 315</w:t>
            </w:r>
          </w:p>
        </w:tc>
        <w:tc>
          <w:tcPr>
            <w:tcW w:w="3118" w:type="dxa"/>
            <w:gridSpan w:val="3"/>
          </w:tcPr>
          <w:p w:rsidR="00D43D17" w:rsidRPr="001171B0" w:rsidRDefault="00D43D17" w:rsidP="00C262F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P: 302+352</w:t>
            </w:r>
          </w:p>
        </w:tc>
      </w:tr>
      <w:tr w:rsidR="00D43D17" w:rsidRPr="009C5E28" w:rsidTr="00C262F4">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D43D17" w:rsidRPr="001171B0" w:rsidRDefault="00D43D17" w:rsidP="00C262F4">
            <w:pPr>
              <w:spacing w:line="276" w:lineRule="auto"/>
              <w:jc w:val="center"/>
              <w:rPr>
                <w:b w:val="0"/>
                <w:bCs w:val="0"/>
                <w:sz w:val="20"/>
                <w:szCs w:val="20"/>
              </w:rPr>
            </w:pPr>
            <w:r w:rsidRPr="001171B0">
              <w:rPr>
                <w:b w:val="0"/>
                <w:color w:val="auto"/>
                <w:sz w:val="20"/>
                <w:szCs w:val="20"/>
              </w:rPr>
              <w:t>Schwefeldioxid</w:t>
            </w:r>
          </w:p>
        </w:tc>
        <w:tc>
          <w:tcPr>
            <w:tcW w:w="3177" w:type="dxa"/>
            <w:gridSpan w:val="3"/>
          </w:tcPr>
          <w:p w:rsidR="00D43D17" w:rsidRPr="001171B0" w:rsidRDefault="00D43D17" w:rsidP="00C262F4">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H: 331, 314</w:t>
            </w:r>
          </w:p>
        </w:tc>
        <w:tc>
          <w:tcPr>
            <w:tcW w:w="3118" w:type="dxa"/>
            <w:gridSpan w:val="3"/>
          </w:tcPr>
          <w:p w:rsidR="00D43D17" w:rsidRPr="001171B0" w:rsidRDefault="00D43D17" w:rsidP="00C262F4">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P: 260, 280, 304+340, 303+361+353, 305+351+338, 315, 405, 403</w:t>
            </w:r>
          </w:p>
        </w:tc>
      </w:tr>
      <w:tr w:rsidR="00D43D17" w:rsidRPr="009C5E28" w:rsidTr="00C262F4">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D43D17" w:rsidRPr="001171B0" w:rsidRDefault="00D43D17" w:rsidP="00C262F4">
            <w:pPr>
              <w:spacing w:line="276" w:lineRule="auto"/>
              <w:jc w:val="center"/>
              <w:rPr>
                <w:b w:val="0"/>
                <w:color w:val="auto"/>
                <w:sz w:val="20"/>
                <w:szCs w:val="20"/>
              </w:rPr>
            </w:pPr>
            <w:r w:rsidRPr="001171B0">
              <w:rPr>
                <w:b w:val="0"/>
                <w:color w:val="auto"/>
                <w:sz w:val="20"/>
                <w:szCs w:val="20"/>
              </w:rPr>
              <w:t>Schweflige Säure (w=5-6%)</w:t>
            </w:r>
          </w:p>
        </w:tc>
        <w:tc>
          <w:tcPr>
            <w:tcW w:w="3177" w:type="dxa"/>
            <w:gridSpan w:val="3"/>
          </w:tcPr>
          <w:p w:rsidR="00D43D17" w:rsidRPr="001171B0" w:rsidRDefault="00D43D17" w:rsidP="00C262F4">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H: 332, 314</w:t>
            </w:r>
          </w:p>
        </w:tc>
        <w:tc>
          <w:tcPr>
            <w:tcW w:w="3118" w:type="dxa"/>
            <w:gridSpan w:val="3"/>
          </w:tcPr>
          <w:p w:rsidR="00D43D17" w:rsidRPr="001171B0" w:rsidRDefault="00D43D17" w:rsidP="00C262F4">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P: 260, 301+330+331, 303+361+353, 305+351+338, 405, 501.1</w:t>
            </w:r>
          </w:p>
        </w:tc>
      </w:tr>
      <w:tr w:rsidR="00D43D17" w:rsidRPr="009C5E28" w:rsidTr="00C262F4">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D43D17" w:rsidRPr="001171B0" w:rsidRDefault="00D43D17" w:rsidP="00C262F4">
            <w:pPr>
              <w:spacing w:line="276" w:lineRule="auto"/>
              <w:jc w:val="center"/>
              <w:rPr>
                <w:b w:val="0"/>
                <w:color w:val="auto"/>
                <w:sz w:val="20"/>
                <w:szCs w:val="20"/>
              </w:rPr>
            </w:pPr>
            <w:r w:rsidRPr="001171B0">
              <w:rPr>
                <w:b w:val="0"/>
                <w:color w:val="auto"/>
                <w:sz w:val="20"/>
                <w:szCs w:val="20"/>
              </w:rPr>
              <w:t>Universalindikator</w:t>
            </w:r>
          </w:p>
        </w:tc>
        <w:tc>
          <w:tcPr>
            <w:tcW w:w="3177" w:type="dxa"/>
            <w:gridSpan w:val="3"/>
          </w:tcPr>
          <w:p w:rsidR="00D43D17" w:rsidRPr="001171B0" w:rsidRDefault="00D43D17" w:rsidP="00C262F4">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H: 225</w:t>
            </w:r>
          </w:p>
        </w:tc>
        <w:tc>
          <w:tcPr>
            <w:tcW w:w="3118" w:type="dxa"/>
            <w:gridSpan w:val="3"/>
          </w:tcPr>
          <w:p w:rsidR="00D43D17" w:rsidRPr="001171B0" w:rsidRDefault="00D43D17" w:rsidP="00C262F4">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P: 210, 233, 370+378a, 403+235</w:t>
            </w:r>
          </w:p>
        </w:tc>
      </w:tr>
      <w:tr w:rsidR="00D43D17" w:rsidRPr="009C5E28" w:rsidTr="00C262F4">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D43D17" w:rsidRPr="001171B0" w:rsidRDefault="00D43D17" w:rsidP="00C262F4">
            <w:pPr>
              <w:spacing w:line="276" w:lineRule="auto"/>
              <w:jc w:val="center"/>
              <w:rPr>
                <w:b w:val="0"/>
                <w:color w:val="auto"/>
                <w:sz w:val="20"/>
                <w:szCs w:val="20"/>
              </w:rPr>
            </w:pPr>
            <w:r w:rsidRPr="001171B0">
              <w:rPr>
                <w:b w:val="0"/>
                <w:color w:val="auto"/>
                <w:sz w:val="20"/>
                <w:szCs w:val="20"/>
              </w:rPr>
              <w:t>Lackmus</w:t>
            </w:r>
          </w:p>
        </w:tc>
        <w:tc>
          <w:tcPr>
            <w:tcW w:w="3177" w:type="dxa"/>
            <w:gridSpan w:val="3"/>
          </w:tcPr>
          <w:p w:rsidR="00D43D17" w:rsidRPr="001171B0" w:rsidRDefault="00D43D17" w:rsidP="00C262F4">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H: 351</w:t>
            </w:r>
          </w:p>
        </w:tc>
        <w:tc>
          <w:tcPr>
            <w:tcW w:w="3118" w:type="dxa"/>
            <w:gridSpan w:val="3"/>
          </w:tcPr>
          <w:p w:rsidR="00D43D17" w:rsidRPr="001171B0" w:rsidRDefault="00D43D17" w:rsidP="00C262F4">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P: 281</w:t>
            </w:r>
          </w:p>
        </w:tc>
      </w:tr>
      <w:tr w:rsidR="00D43D17" w:rsidRPr="009C5E28" w:rsidTr="00C262F4">
        <w:tc>
          <w:tcPr>
            <w:cnfStyle w:val="001000000000" w:firstRow="0" w:lastRow="0" w:firstColumn="1" w:lastColumn="0" w:oddVBand="0" w:evenVBand="0" w:oddHBand="0" w:evenHBand="0" w:firstRowFirstColumn="0" w:firstRowLastColumn="0" w:lastRowFirstColumn="0" w:lastRowLastColumn="0"/>
            <w:tcW w:w="1009" w:type="dxa"/>
          </w:tcPr>
          <w:p w:rsidR="00D43D17" w:rsidRPr="009C5E28" w:rsidRDefault="00D43D17" w:rsidP="00C262F4">
            <w:pPr>
              <w:jc w:val="center"/>
              <w:rPr>
                <w:b w:val="0"/>
                <w:bCs w:val="0"/>
              </w:rPr>
            </w:pPr>
            <w:r>
              <w:rPr>
                <w:noProof/>
                <w:lang w:eastAsia="de-DE"/>
              </w:rPr>
              <w:drawing>
                <wp:inline distT="0" distB="0" distL="0" distR="0" wp14:anchorId="42FF707C" wp14:editId="5C8B222E">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60AB3672" wp14:editId="2354974C">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7F3CF6F4" wp14:editId="60DADF42">
                  <wp:extent cx="523875" cy="523875"/>
                  <wp:effectExtent l="0" t="0" r="9525" b="9525"/>
                  <wp:docPr id="34" name="Grafik 34"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SVP\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1009"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47B3C11D" wp14:editId="56046314">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0159E58A" wp14:editId="70C7887E">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31CC2DCE" wp14:editId="010609BD">
                  <wp:extent cx="526211" cy="526211"/>
                  <wp:effectExtent l="0" t="0" r="7620" b="7620"/>
                  <wp:docPr id="35" name="Grafik 35" descr="C:\Users\Annika\Desktop\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esktop\SVP\Piktogramme\Gesundheitsgefah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690" cy="525690"/>
                          </a:xfrm>
                          <a:prstGeom prst="rect">
                            <a:avLst/>
                          </a:prstGeom>
                          <a:noFill/>
                          <a:ln>
                            <a:noFill/>
                          </a:ln>
                        </pic:spPr>
                      </pic:pic>
                    </a:graphicData>
                  </a:graphic>
                </wp:inline>
              </w:drawing>
            </w:r>
          </w:p>
        </w:tc>
        <w:tc>
          <w:tcPr>
            <w:tcW w:w="975"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5FB0393A" wp14:editId="06904E4D">
                  <wp:extent cx="485775" cy="485775"/>
                  <wp:effectExtent l="0" t="0" r="9525" b="9525"/>
                  <wp:docPr id="33" name="Grafik 33" descr="C:\Users\Annika\Desktop\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esktop\SVP\Piktogramme\Gifti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1009"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691891F3" wp14:editId="6EA3F708">
                  <wp:extent cx="457200" cy="4572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54378" cy="454378"/>
                          </a:xfrm>
                          <a:prstGeom prst="rect">
                            <a:avLst/>
                          </a:prstGeom>
                          <a:noFill/>
                          <a:ln>
                            <a:noFill/>
                          </a:ln>
                        </pic:spPr>
                      </pic:pic>
                    </a:graphicData>
                  </a:graphic>
                </wp:inline>
              </w:drawing>
            </w:r>
          </w:p>
        </w:tc>
        <w:tc>
          <w:tcPr>
            <w:tcW w:w="1134" w:type="dxa"/>
          </w:tcPr>
          <w:p w:rsidR="00D43D17" w:rsidRPr="009C5E28" w:rsidRDefault="00D43D17" w:rsidP="00C262F4">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2348F35B" wp14:editId="40ACB0DE">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43D17" w:rsidRDefault="00D43D17" w:rsidP="00D43D17">
      <w:pPr>
        <w:tabs>
          <w:tab w:val="left" w:pos="3510"/>
        </w:tabs>
        <w:ind w:left="1980" w:hanging="1980"/>
      </w:pPr>
      <w:r>
        <w:tab/>
      </w:r>
      <w:r>
        <w:tab/>
      </w:r>
    </w:p>
    <w:p w:rsidR="00D43D17" w:rsidRDefault="00D43D17" w:rsidP="00D43D17">
      <w:pPr>
        <w:tabs>
          <w:tab w:val="left" w:pos="1701"/>
          <w:tab w:val="left" w:pos="1985"/>
        </w:tabs>
        <w:ind w:left="1980" w:hanging="1980"/>
      </w:pPr>
      <w:r>
        <w:t xml:space="preserve">Materialien: </w:t>
      </w:r>
      <w:r>
        <w:tab/>
      </w:r>
      <w:r>
        <w:tab/>
        <w:t>Brenner, großer Standzylinder, Verbrennungslöffel, Metalldeckel, Spatel</w:t>
      </w:r>
    </w:p>
    <w:p w:rsidR="00D43D17" w:rsidRDefault="00D43D17" w:rsidP="00D43D17">
      <w:pPr>
        <w:tabs>
          <w:tab w:val="left" w:pos="1701"/>
          <w:tab w:val="left" w:pos="1985"/>
        </w:tabs>
        <w:ind w:left="1980" w:hanging="1980"/>
      </w:pPr>
      <w:r>
        <w:t>Chemikalien:</w:t>
      </w:r>
      <w:r>
        <w:tab/>
      </w:r>
      <w:r>
        <w:tab/>
        <w:t>destilliertes Wasser, Schwefel, Indikator (Universalindikator, Lackmus)</w:t>
      </w:r>
    </w:p>
    <w:p w:rsidR="00D43D17" w:rsidRPr="00ED07C2" w:rsidRDefault="00D43D17" w:rsidP="00D43D17">
      <w:pPr>
        <w:tabs>
          <w:tab w:val="left" w:pos="1701"/>
          <w:tab w:val="left" w:pos="1985"/>
        </w:tabs>
        <w:ind w:left="1980" w:hanging="1980"/>
      </w:pPr>
      <w:r>
        <w:t>Gefahrenhinweis:</w:t>
      </w:r>
      <w:r>
        <w:tab/>
      </w:r>
      <w:r>
        <w:tab/>
        <w:t>Achtung! Im Abzug arbeiten!</w:t>
      </w:r>
    </w:p>
    <w:p w:rsidR="00D43D17" w:rsidRDefault="00D43D17" w:rsidP="00D43D17">
      <w:pPr>
        <w:tabs>
          <w:tab w:val="left" w:pos="1701"/>
          <w:tab w:val="left" w:pos="1985"/>
        </w:tabs>
        <w:ind w:left="1980" w:hanging="1980"/>
      </w:pPr>
      <w:r>
        <w:t xml:space="preserve">Durchführung: </w:t>
      </w:r>
      <w:r>
        <w:tab/>
      </w:r>
      <w:r>
        <w:tab/>
      </w:r>
      <w:r>
        <w:tab/>
        <w:t>Vor dem Experiment glüht man zunächst den Verbrennungslöffel aus, um mögliche Rückstände zu entfernen. Man füllt einen Standzylinder ca. drei bis vier Zentimeter hoch mit Wasser und gibt drei Tropfen Universalindikator (alternativ auch Lackmus) zu. Der Verbrennungslöffel wird so an dem Metalldeckel befestig, dass er zu etwa zwei Drittel im Standzylinder ist.</w:t>
      </w:r>
    </w:p>
    <w:p w:rsidR="00D43D17" w:rsidRDefault="00D43D17" w:rsidP="00D43D17">
      <w:pPr>
        <w:tabs>
          <w:tab w:val="left" w:pos="1701"/>
          <w:tab w:val="left" w:pos="1985"/>
        </w:tabs>
        <w:ind w:left="1980" w:hanging="1980"/>
      </w:pPr>
      <w:r>
        <w:tab/>
      </w:r>
      <w:r>
        <w:tab/>
        <w:t>Nun wird der Verbrennungslöffel halbvoll mit Schwefel gefüllt. Im Abzug wird der Schwefel über dem Brenner mit rauschender Flamme entzündet und möglichst schnell in den Standzylinder gehängt.</w:t>
      </w:r>
    </w:p>
    <w:p w:rsidR="00D43D17" w:rsidRDefault="00D43D17" w:rsidP="00D43D17">
      <w:pPr>
        <w:pStyle w:val="Beschriftung"/>
        <w:ind w:left="1416" w:firstLine="708"/>
        <w:jc w:val="left"/>
      </w:pPr>
      <w:r>
        <w:rPr>
          <w:noProof/>
          <w:lang w:eastAsia="de-DE"/>
        </w:rPr>
        <w:lastRenderedPageBreak/>
        <mc:AlternateContent>
          <mc:Choice Requires="wps">
            <w:drawing>
              <wp:anchor distT="0" distB="0" distL="114300" distR="114300" simplePos="0" relativeHeight="251662336" behindDoc="0" locked="0" layoutInCell="1" allowOverlap="1" wp14:anchorId="3C0A0113" wp14:editId="66D81A3B">
                <wp:simplePos x="0" y="0"/>
                <wp:positionH relativeFrom="column">
                  <wp:posOffset>1351280</wp:posOffset>
                </wp:positionH>
                <wp:positionV relativeFrom="paragraph">
                  <wp:posOffset>3139440</wp:posOffset>
                </wp:positionV>
                <wp:extent cx="3579495" cy="63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3579495" cy="635"/>
                        </a:xfrm>
                        <a:prstGeom prst="rect">
                          <a:avLst/>
                        </a:prstGeom>
                        <a:solidFill>
                          <a:prstClr val="white"/>
                        </a:solidFill>
                        <a:ln>
                          <a:noFill/>
                        </a:ln>
                        <a:effectLst/>
                      </wps:spPr>
                      <wps:txbx>
                        <w:txbxContent>
                          <w:p w:rsidR="00D43D17" w:rsidRPr="009E3AC6" w:rsidRDefault="00D43D17" w:rsidP="00D43D17">
                            <w:pPr>
                              <w:pStyle w:val="Beschriftung"/>
                              <w:rPr>
                                <w:noProof/>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r w:rsidRPr="00C43263">
                              <w:t>schematischer Versuchsaufbau zur Herstellung von schwefliger Säure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0A0113" id="Textfeld 7" o:spid="_x0000_s1027" type="#_x0000_t202" style="position:absolute;left:0;text-align:left;margin-left:106.4pt;margin-top:247.2pt;width:281.8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" stroked="f">
                <v:textbox style="mso-fit-shape-to-text:t" inset="0,0,0,0">
                  <w:txbxContent>
                    <w:p w:rsidR="00D43D17" w:rsidRPr="009E3AC6" w:rsidRDefault="00D43D17" w:rsidP="00D43D17">
                      <w:pPr>
                        <w:pStyle w:val="Beschriftung"/>
                        <w:rPr>
                          <w:noProof/>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r w:rsidRPr="00C43263">
                        <w:t>schematischer Versuchsaufbau zur Herstellung von schwefliger Säure</w:t>
                      </w:r>
                    </w:p>
                  </w:txbxContent>
                </v:textbox>
                <w10:wrap type="square"/>
              </v:shape>
            </w:pict>
          </mc:Fallback>
        </mc:AlternateContent>
      </w:r>
      <w:r>
        <w:rPr>
          <w:noProof/>
          <w:lang w:eastAsia="de-DE"/>
        </w:rPr>
        <w:drawing>
          <wp:anchor distT="0" distB="0" distL="114300" distR="114300" simplePos="0" relativeHeight="251661312" behindDoc="0" locked="0" layoutInCell="1" allowOverlap="1" wp14:anchorId="0B732B98" wp14:editId="5C5C17BF">
            <wp:simplePos x="0" y="0"/>
            <wp:positionH relativeFrom="column">
              <wp:posOffset>1351280</wp:posOffset>
            </wp:positionH>
            <wp:positionV relativeFrom="paragraph">
              <wp:posOffset>-3175</wp:posOffset>
            </wp:positionV>
            <wp:extent cx="3579495" cy="3085465"/>
            <wp:effectExtent l="0" t="0" r="1905" b="635"/>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stellung von schwefliger Sä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9495" cy="3085465"/>
                    </a:xfrm>
                    <a:prstGeom prst="rect">
                      <a:avLst/>
                    </a:prstGeom>
                  </pic:spPr>
                </pic:pic>
              </a:graphicData>
            </a:graphic>
            <wp14:sizeRelH relativeFrom="page">
              <wp14:pctWidth>0</wp14:pctWidth>
            </wp14:sizeRelH>
            <wp14:sizeRelV relativeFrom="page">
              <wp14:pctHeight>0</wp14:pctHeight>
            </wp14:sizeRelV>
          </wp:anchor>
        </w:drawing>
      </w: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pStyle w:val="Beschriftung"/>
        <w:ind w:left="2124"/>
      </w:pPr>
    </w:p>
    <w:p w:rsidR="00D43D17" w:rsidRDefault="00D43D17" w:rsidP="00D43D17">
      <w:pPr>
        <w:tabs>
          <w:tab w:val="left" w:pos="1701"/>
          <w:tab w:val="left" w:pos="1985"/>
        </w:tabs>
        <w:ind w:left="2124" w:hanging="2124"/>
      </w:pPr>
      <w:r>
        <w:t>Beobachtung:</w:t>
      </w:r>
      <w:r>
        <w:tab/>
      </w:r>
      <w:r>
        <w:tab/>
      </w:r>
      <w:r>
        <w:tab/>
        <w:t>Der Schwefel verbrennt mit bläulicher Flamme. Weißlicher Nebel ist zu erkennen. Die wässrige Lösung mit dem Universalindikator färbt sich von grün nach rot. (Bei Verwendung von Lackmus als Indikator färbt sich die Lösung von violett zu rot.)</w:t>
      </w:r>
    </w:p>
    <w:p w:rsidR="00D43D17" w:rsidRDefault="00D43D17" w:rsidP="00D43D17">
      <w:pPr>
        <w:tabs>
          <w:tab w:val="left" w:pos="1701"/>
          <w:tab w:val="left" w:pos="1985"/>
        </w:tabs>
        <w:ind w:left="2124" w:hanging="2124"/>
      </w:pPr>
    </w:p>
    <w:p w:rsidR="00D43D17" w:rsidRDefault="00D43D17" w:rsidP="00D43D17">
      <w:pPr>
        <w:tabs>
          <w:tab w:val="left" w:pos="1701"/>
          <w:tab w:val="left" w:pos="1985"/>
        </w:tabs>
        <w:ind w:left="2124" w:hanging="2124"/>
      </w:pPr>
      <w:r>
        <w:rPr>
          <w:noProof/>
          <w:lang w:eastAsia="de-DE"/>
        </w:rPr>
        <w:drawing>
          <wp:anchor distT="0" distB="0" distL="114300" distR="114300" simplePos="0" relativeHeight="251660288" behindDoc="0" locked="0" layoutInCell="1" allowOverlap="1" wp14:anchorId="5407D6B3" wp14:editId="4BC46279">
            <wp:simplePos x="0" y="0"/>
            <wp:positionH relativeFrom="column">
              <wp:posOffset>871855</wp:posOffset>
            </wp:positionH>
            <wp:positionV relativeFrom="paragraph">
              <wp:posOffset>237490</wp:posOffset>
            </wp:positionV>
            <wp:extent cx="2358390" cy="1397000"/>
            <wp:effectExtent l="4445" t="0" r="8255" b="8255"/>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06.JPG"/>
                    <pic:cNvPicPr/>
                  </pic:nvPicPr>
                  <pic:blipFill rotWithShape="1">
                    <a:blip r:embed="rId15" cstate="print">
                      <a:extLst>
                        <a:ext uri="{28A0092B-C50C-407E-A947-70E740481C1C}">
                          <a14:useLocalDpi xmlns:a14="http://schemas.microsoft.com/office/drawing/2010/main" val="0"/>
                        </a:ext>
                      </a:extLst>
                    </a:blip>
                    <a:srcRect l="38764" t="23120" r="14962" b="40239"/>
                    <a:stretch/>
                  </pic:blipFill>
                  <pic:spPr bwMode="auto">
                    <a:xfrm rot="5400000">
                      <a:off x="0" y="0"/>
                      <a:ext cx="2358390" cy="139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3D17" w:rsidRDefault="00D43D17" w:rsidP="00D43D17">
      <w:pPr>
        <w:tabs>
          <w:tab w:val="left" w:pos="1701"/>
          <w:tab w:val="left" w:pos="1985"/>
        </w:tabs>
        <w:ind w:left="2124" w:hanging="2124"/>
      </w:pPr>
    </w:p>
    <w:p w:rsidR="00D43D17" w:rsidRDefault="00D43D17" w:rsidP="00D43D17">
      <w:pPr>
        <w:tabs>
          <w:tab w:val="left" w:pos="1701"/>
          <w:tab w:val="left" w:pos="1985"/>
        </w:tabs>
        <w:ind w:left="2124" w:hanging="2124"/>
      </w:pPr>
    </w:p>
    <w:p w:rsidR="00D43D17" w:rsidRDefault="00D43D17" w:rsidP="00D43D17">
      <w:pPr>
        <w:tabs>
          <w:tab w:val="left" w:pos="1701"/>
          <w:tab w:val="left" w:pos="1985"/>
        </w:tabs>
        <w:ind w:left="2124" w:hanging="2124"/>
      </w:pPr>
      <w:r>
        <w:rPr>
          <w:noProof/>
          <w:lang w:eastAsia="de-DE"/>
        </w:rPr>
        <mc:AlternateContent>
          <mc:Choice Requires="wps">
            <w:drawing>
              <wp:anchor distT="0" distB="0" distL="114300" distR="114300" simplePos="0" relativeHeight="251663360" behindDoc="0" locked="0" layoutInCell="1" allowOverlap="1" wp14:anchorId="4802A6CE" wp14:editId="28C6076D">
                <wp:simplePos x="0" y="0"/>
                <wp:positionH relativeFrom="column">
                  <wp:posOffset>2749550</wp:posOffset>
                </wp:positionH>
                <wp:positionV relativeFrom="paragraph">
                  <wp:posOffset>27940</wp:posOffset>
                </wp:positionV>
                <wp:extent cx="1397000" cy="635"/>
                <wp:effectExtent l="0" t="0" r="0" b="2540"/>
                <wp:wrapSquare wrapText="bothSides"/>
                <wp:docPr id="11" name="Textfeld 11"/>
                <wp:cNvGraphicFramePr/>
                <a:graphic xmlns:a="http://schemas.openxmlformats.org/drawingml/2006/main">
                  <a:graphicData uri="http://schemas.microsoft.com/office/word/2010/wordprocessingShape">
                    <wps:wsp>
                      <wps:cNvSpPr txBox="1"/>
                      <wps:spPr>
                        <a:xfrm>
                          <a:off x="0" y="0"/>
                          <a:ext cx="1397000" cy="635"/>
                        </a:xfrm>
                        <a:prstGeom prst="rect">
                          <a:avLst/>
                        </a:prstGeom>
                        <a:solidFill>
                          <a:prstClr val="white"/>
                        </a:solidFill>
                        <a:ln>
                          <a:noFill/>
                        </a:ln>
                        <a:effectLst/>
                      </wps:spPr>
                      <wps:txbx>
                        <w:txbxContent>
                          <w:p w:rsidR="00D43D17" w:rsidRPr="00A0724C" w:rsidRDefault="00D43D17" w:rsidP="00D43D1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w:t>
                            </w:r>
                            <w:r w:rsidRPr="001F3C37">
                              <w:t>Die wässrige Lösung färbt sich von violett nach rot, bei Verwendung von Lackmus als Indikator. (oben ist die Lösung bereit rot und unten noch violett)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02A6CE" id="Textfeld 11" o:spid="_x0000_s1028" type="#_x0000_t202" style="position:absolute;left:0;text-align:left;margin-left:216.5pt;margin-top:2.2pt;width:110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" stroked="f">
                <v:textbox style="mso-fit-shape-to-text:t" inset="0,0,0,0">
                  <w:txbxContent>
                    <w:p w:rsidR="00D43D17" w:rsidRPr="00A0724C" w:rsidRDefault="00D43D17" w:rsidP="00D43D1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w:t>
                      </w:r>
                      <w:r w:rsidRPr="001F3C37">
                        <w:t>Die wässrige Lösung färbt sich von violett nach rot, bei Verwendung von Lackmus als Indikator. (oben ist die Lösung bereit rot und unten noch violett)</w:t>
                      </w:r>
                    </w:p>
                  </w:txbxContent>
                </v:textbox>
                <w10:wrap type="square"/>
              </v:shape>
            </w:pict>
          </mc:Fallback>
        </mc:AlternateContent>
      </w:r>
    </w:p>
    <w:p w:rsidR="00D43D17" w:rsidRDefault="00D43D17" w:rsidP="00D43D17">
      <w:pPr>
        <w:tabs>
          <w:tab w:val="left" w:pos="1701"/>
          <w:tab w:val="left" w:pos="1985"/>
        </w:tabs>
        <w:ind w:left="2124" w:hanging="2124"/>
      </w:pPr>
    </w:p>
    <w:p w:rsidR="00D43D17" w:rsidRDefault="00D43D17" w:rsidP="00D43D17">
      <w:pPr>
        <w:tabs>
          <w:tab w:val="left" w:pos="1701"/>
          <w:tab w:val="left" w:pos="1985"/>
        </w:tabs>
        <w:ind w:left="2124" w:hanging="2124"/>
      </w:pPr>
    </w:p>
    <w:p w:rsidR="00D43D17" w:rsidRDefault="00D43D17" w:rsidP="00D43D17">
      <w:pPr>
        <w:tabs>
          <w:tab w:val="left" w:pos="1701"/>
          <w:tab w:val="left" w:pos="1985"/>
        </w:tabs>
        <w:ind w:left="2124" w:hanging="2124"/>
      </w:pPr>
      <w:r>
        <w:t>Deutung:</w:t>
      </w:r>
      <w:r>
        <w:tab/>
      </w:r>
      <w:r>
        <w:tab/>
      </w:r>
      <w:r>
        <w:tab/>
        <w:t xml:space="preserve">Bei der Verbrennung von Schwefel entsteht Schwefeldioxid. Es bildet mit Wasser eine saure Lösung. </w:t>
      </w:r>
    </w:p>
    <w:p w:rsidR="00D43D17" w:rsidRDefault="00D43D17" w:rsidP="00D43D17">
      <w:pPr>
        <w:tabs>
          <w:tab w:val="left" w:pos="1701"/>
          <w:tab w:val="left" w:pos="1985"/>
        </w:tabs>
        <w:ind w:left="2124" w:hanging="2124"/>
      </w:pPr>
      <w:r>
        <w:tab/>
      </w:r>
      <w:r>
        <w:tab/>
      </w:r>
      <w:r>
        <w:tab/>
        <w:t xml:space="preserve">Die Bildung der sauren Lösung kann man sich modellhaft wie folgt vorstellen: </w:t>
      </w:r>
    </w:p>
    <w:p w:rsidR="00D43D17" w:rsidRPr="00683389" w:rsidRDefault="00D43D17" w:rsidP="00D43D17">
      <w:pPr>
        <w:tabs>
          <w:tab w:val="left" w:pos="1701"/>
          <w:tab w:val="left" w:pos="1985"/>
        </w:tabs>
        <w:ind w:left="2124" w:hanging="2124"/>
        <w:rPr>
          <w:rFonts w:eastAsiaTheme="minorEastAsia"/>
        </w:rPr>
      </w:pPr>
      <w:r>
        <w:tab/>
      </w:r>
      <w:r>
        <w:tab/>
      </w:r>
      <w:r>
        <w:tab/>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Sub>
              <m:sSubPr>
                <m:ctrlPr>
                  <w:rPr>
                    <w:rFonts w:ascii="Cambria Math" w:hAnsi="Cambria Math"/>
                  </w:rPr>
                </m:ctrlPr>
              </m:sSubPr>
              <m:e>
                <m:r>
                  <m:rPr>
                    <m:sty m:val="p"/>
                  </m:rPr>
                  <w:rPr>
                    <w:rFonts w:ascii="Cambria Math" w:hAnsi="Cambria Math"/>
                  </w:rPr>
                  <m:t>(g)</m:t>
                </m:r>
              </m:e>
              <m:sub/>
            </m:sSub>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3(aq)</m:t>
            </m:r>
          </m:sub>
        </m:sSub>
      </m:oMath>
      <w:r w:rsidRPr="00683389">
        <w:rPr>
          <w:rFonts w:eastAsiaTheme="minorEastAsia"/>
        </w:rPr>
        <w:t xml:space="preserve">  </w:t>
      </w:r>
    </w:p>
    <w:p w:rsidR="00D43D17" w:rsidRDefault="00D43D17" w:rsidP="00D43D17">
      <w:pPr>
        <w:tabs>
          <w:tab w:val="left" w:pos="1701"/>
          <w:tab w:val="left" w:pos="1985"/>
        </w:tabs>
        <w:ind w:left="2124" w:hanging="2124"/>
        <w:rPr>
          <w:rFonts w:eastAsiaTheme="minorEastAsia"/>
        </w:rPr>
      </w:pPr>
      <w:r>
        <w:rPr>
          <w:rFonts w:eastAsiaTheme="minorEastAsia"/>
        </w:rPr>
        <w:lastRenderedPageBreak/>
        <w:tab/>
      </w:r>
      <w:r>
        <w:rPr>
          <w:rFonts w:eastAsiaTheme="minorEastAsia"/>
        </w:rPr>
        <w:tab/>
      </w:r>
      <w:r>
        <w:rPr>
          <w:rFonts w:eastAsiaTheme="minorEastAsia"/>
        </w:rPr>
        <w:tab/>
        <w:t xml:space="preserve">Mit weiteren Wassermolekülen werden </w:t>
      </w:r>
      <w:proofErr w:type="spellStart"/>
      <w:r>
        <w:rPr>
          <w:rFonts w:eastAsiaTheme="minorEastAsia"/>
        </w:rPr>
        <w:t>Oxoniumionen</w:t>
      </w:r>
      <w:proofErr w:type="spellEnd"/>
      <w:r>
        <w:rPr>
          <w:rFonts w:eastAsiaTheme="minorEastAsia"/>
        </w:rPr>
        <w:t xml:space="preserve"> und zwei Arten von Säurerest-Ionen gebildet:</w:t>
      </w:r>
    </w:p>
    <w:p w:rsidR="00D43D17" w:rsidRPr="00AD1E3A" w:rsidRDefault="00D43D17" w:rsidP="00D43D17">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SO</m:t>
            </m:r>
          </m:e>
          <m:sub>
            <m:r>
              <m:rPr>
                <m:sty m:val="p"/>
              </m:rPr>
              <w:rPr>
                <w:rFonts w:ascii="Cambria Math" w:eastAsiaTheme="minorEastAsia" w:hAnsi="Cambria Math"/>
              </w:rPr>
              <m:t>3(aq)</m:t>
            </m:r>
          </m:sub>
        </m:sSub>
        <m:r>
          <m:rPr>
            <m:sty m:val="p"/>
          </m:rP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HSO</m:t>
            </m:r>
          </m:e>
          <m:sub>
            <m:r>
              <m:rPr>
                <m:sty m:val="p"/>
              </m:rPr>
              <w:rPr>
                <w:rFonts w:ascii="Cambria Math" w:hAnsi="Cambria Math"/>
              </w:rPr>
              <m:t>3(aq)</m:t>
            </m:r>
          </m:sub>
          <m:sup>
            <m:r>
              <m:rPr>
                <m:sty m:val="p"/>
              </m:rPr>
              <w:rPr>
                <w:rFonts w:ascii="Cambria Math" w:hAnsi="Cambria Math"/>
              </w:rPr>
              <m:t>-</m:t>
            </m:r>
          </m:sup>
        </m:sSubSup>
      </m:oMath>
    </w:p>
    <w:p w:rsidR="00D43D17" w:rsidRPr="00AD1E3A" w:rsidRDefault="00D43D17" w:rsidP="00D43D17">
      <w:pPr>
        <w:tabs>
          <w:tab w:val="left" w:pos="1701"/>
          <w:tab w:val="left" w:pos="1985"/>
        </w:tabs>
        <w:ind w:left="2124" w:hanging="2124"/>
        <w:rPr>
          <w:rFonts w:eastAsiaTheme="minorEastAsia"/>
        </w:rPr>
      </w:pPr>
      <w:r w:rsidRPr="00AD1E3A">
        <w:rPr>
          <w:rFonts w:eastAsiaTheme="minorEastAsia"/>
        </w:rPr>
        <w:tab/>
      </w:r>
      <w:r w:rsidRPr="00AD1E3A">
        <w:rPr>
          <w:rFonts w:eastAsiaTheme="minorEastAsia"/>
        </w:rPr>
        <w:tab/>
      </w:r>
      <w:r>
        <w:rPr>
          <w:rFonts w:eastAsiaTheme="minorEastAsia"/>
        </w:rPr>
        <w:tab/>
      </w:r>
      <m:oMath>
        <m:sSubSup>
          <m:sSubSupPr>
            <m:ctrlPr>
              <w:rPr>
                <w:rFonts w:ascii="Cambria Math" w:hAnsi="Cambria Math"/>
              </w:rPr>
            </m:ctrlPr>
          </m:sSubSupPr>
          <m:e>
            <m:r>
              <m:rPr>
                <m:sty m:val="p"/>
              </m:rPr>
              <w:rPr>
                <w:rFonts w:ascii="Cambria Math" w:hAnsi="Cambria Math"/>
              </w:rPr>
              <m:t>HSO</m:t>
            </m:r>
          </m:e>
          <m:sub>
            <m:r>
              <m:rPr>
                <m:sty m:val="p"/>
              </m:rPr>
              <w:rPr>
                <w:rFonts w:ascii="Cambria Math" w:hAnsi="Cambria Math"/>
              </w:rPr>
              <m:t>3(aq)</m:t>
            </m:r>
          </m:sub>
          <m:sup>
            <m:r>
              <m:rPr>
                <m:sty m:val="p"/>
              </m:rPr>
              <w:rPr>
                <w:rFonts w:ascii="Cambria Math" w:hAnsi="Cambria Math"/>
              </w:rPr>
              <m:t>-</m:t>
            </m:r>
          </m:sup>
        </m:sSub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eastAsiaTheme="minorEastAsia" w:hAnsi="Cambria Math"/>
              </w:rPr>
            </m:ctrlPr>
          </m:sSubSupPr>
          <m:e>
            <m:r>
              <m:rPr>
                <m:sty m:val="p"/>
              </m:rPr>
              <w:rPr>
                <w:rFonts w:ascii="Cambria Math" w:eastAsiaTheme="minorEastAsia" w:hAnsi="Cambria Math"/>
              </w:rPr>
              <m:t>SO</m:t>
            </m:r>
          </m:e>
          <m:sub>
            <m:r>
              <m:rPr>
                <m:sty m:val="p"/>
              </m:rPr>
              <w:rPr>
                <w:rFonts w:ascii="Cambria Math" w:eastAsiaTheme="minorEastAsia" w:hAnsi="Cambria Math"/>
              </w:rPr>
              <m:t>3(aq)</m:t>
            </m:r>
          </m:sub>
          <m:sup>
            <m:r>
              <m:rPr>
                <m:sty m:val="p"/>
              </m:rPr>
              <w:rPr>
                <w:rFonts w:ascii="Cambria Math" w:eastAsiaTheme="minorEastAsia" w:hAnsi="Cambria Math"/>
              </w:rPr>
              <m:t>2-</m:t>
            </m:r>
          </m:sup>
        </m:sSubSup>
      </m:oMath>
      <w:r w:rsidRPr="00AD1E3A">
        <w:rPr>
          <w:rFonts w:eastAsiaTheme="minorEastAsia"/>
        </w:rPr>
        <w:t xml:space="preserve">  </w:t>
      </w:r>
    </w:p>
    <w:p w:rsidR="00D43D17" w:rsidRPr="00AD1E3A" w:rsidRDefault="00D43D17" w:rsidP="00D43D17">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w:r w:rsidRPr="00AD1E3A">
        <w:rPr>
          <w:rFonts w:eastAsiaTheme="minorEastAsia"/>
        </w:rPr>
        <w:t xml:space="preserve">Die </w:t>
      </w:r>
      <m:oMath>
        <m:sSubSup>
          <m:sSubSupPr>
            <m:ctrlPr>
              <w:rPr>
                <w:rFonts w:ascii="Cambria Math" w:eastAsiaTheme="minorEastAsia" w:hAnsi="Cambria Math"/>
              </w:rPr>
            </m:ctrlPr>
          </m:sSubSupPr>
          <m:e>
            <m:r>
              <m:rPr>
                <m:sty m:val="p"/>
              </m:rPr>
              <w:rPr>
                <w:rFonts w:ascii="Cambria Math" w:eastAsiaTheme="minorEastAsia" w:hAnsi="Cambria Math"/>
              </w:rPr>
              <m:t>SO</m:t>
            </m:r>
          </m:e>
          <m:sub>
            <m:r>
              <m:rPr>
                <m:sty m:val="p"/>
              </m:rPr>
              <w:rPr>
                <w:rFonts w:ascii="Cambria Math" w:eastAsiaTheme="minorEastAsia" w:hAnsi="Cambria Math"/>
              </w:rPr>
              <m:t>3</m:t>
            </m:r>
          </m:sub>
          <m:sup>
            <m:r>
              <m:rPr>
                <m:sty m:val="p"/>
              </m:rPr>
              <w:rPr>
                <w:rFonts w:ascii="Cambria Math" w:eastAsiaTheme="minorEastAsia" w:hAnsi="Cambria Math"/>
              </w:rPr>
              <m:t>2-</m:t>
            </m:r>
          </m:sup>
        </m:sSubSup>
      </m:oMath>
      <w:r>
        <w:rPr>
          <w:rFonts w:eastAsiaTheme="minorEastAsia"/>
        </w:rPr>
        <w:t xml:space="preserve">-Ionen werden  als </w:t>
      </w:r>
      <w:proofErr w:type="spellStart"/>
      <w:r>
        <w:rPr>
          <w:rFonts w:eastAsiaTheme="minorEastAsia"/>
        </w:rPr>
        <w:t>Sulfitionen</w:t>
      </w:r>
      <w:proofErr w:type="spellEnd"/>
      <w:r>
        <w:rPr>
          <w:rFonts w:eastAsiaTheme="minorEastAsia"/>
        </w:rPr>
        <w:t xml:space="preserve"> bezeichnet, </w:t>
      </w:r>
      <m:oMath>
        <m:r>
          <m:rPr>
            <m:sty m:val="p"/>
          </m:rPr>
          <w:rPr>
            <w:rFonts w:ascii="Cambria Math" w:eastAsiaTheme="minorEastAsia" w:hAnsi="Cambria Math"/>
          </w:rPr>
          <m:t>HS</m:t>
        </m:r>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3</m:t>
            </m:r>
          </m:sub>
          <m:sup>
            <m:r>
              <m:rPr>
                <m:sty m:val="p"/>
              </m:rPr>
              <w:rPr>
                <w:rFonts w:ascii="Cambria Math" w:eastAsiaTheme="minorEastAsia" w:hAnsi="Cambria Math"/>
              </w:rPr>
              <m:t>-</m:t>
            </m:r>
          </m:sup>
        </m:sSubSup>
      </m:oMath>
      <w:r w:rsidRPr="00AD1E3A">
        <w:rPr>
          <w:rFonts w:eastAsiaTheme="minorEastAsia"/>
        </w:rPr>
        <w:t>-Ionen als</w:t>
      </w:r>
      <w:r>
        <w:rPr>
          <w:rFonts w:eastAsiaTheme="minorEastAsia"/>
        </w:rPr>
        <w:t xml:space="preserve"> </w:t>
      </w:r>
      <w:proofErr w:type="spellStart"/>
      <w:r>
        <w:rPr>
          <w:rFonts w:eastAsiaTheme="minorEastAsia"/>
        </w:rPr>
        <w:t>Hydrogensulfitionen</w:t>
      </w:r>
      <w:proofErr w:type="spellEnd"/>
      <w:r>
        <w:rPr>
          <w:rFonts w:eastAsiaTheme="minorEastAsia"/>
        </w:rPr>
        <w:t>.</w:t>
      </w:r>
    </w:p>
    <w:p w:rsidR="00D43D17" w:rsidRDefault="00D43D17" w:rsidP="00D43D17">
      <w:pPr>
        <w:spacing w:line="276" w:lineRule="auto"/>
        <w:ind w:left="2124" w:hanging="2124"/>
        <w:jc w:val="left"/>
      </w:pPr>
      <w:r>
        <w:t>Entsorgung:</w:t>
      </w:r>
      <w:r>
        <w:tab/>
        <w:t>Die entstandene schweflige Säure kann mit Natronlauge neutralisiert und im Anschluss im Abfluss entsorgt werden.</w:t>
      </w:r>
    </w:p>
    <w:p w:rsidR="00D43D17" w:rsidRPr="005B60E3" w:rsidRDefault="00D43D17" w:rsidP="00D43D17">
      <w:pPr>
        <w:spacing w:line="276" w:lineRule="auto"/>
        <w:ind w:left="2124" w:hanging="2124"/>
        <w:jc w:val="left"/>
        <w:rPr>
          <w:rFonts w:asciiTheme="majorHAnsi" w:eastAsiaTheme="majorEastAsia" w:hAnsiTheme="majorHAnsi" w:cstheme="majorBidi"/>
          <w:b/>
          <w:bCs/>
          <w:sz w:val="28"/>
          <w:szCs w:val="28"/>
        </w:rPr>
      </w:pPr>
      <w:r>
        <w:t>Literatur:</w:t>
      </w:r>
      <w:r>
        <w:tab/>
      </w:r>
      <w:r>
        <w:rPr>
          <w:color w:val="auto"/>
        </w:rPr>
        <w:t xml:space="preserve">W. Eisner, R. </w:t>
      </w:r>
      <w:proofErr w:type="spellStart"/>
      <w:r>
        <w:rPr>
          <w:color w:val="auto"/>
        </w:rPr>
        <w:t>Fladt</w:t>
      </w:r>
      <w:proofErr w:type="spellEnd"/>
      <w:r>
        <w:rPr>
          <w:color w:val="auto"/>
        </w:rPr>
        <w:t xml:space="preserve">, P. </w:t>
      </w:r>
      <w:proofErr w:type="spellStart"/>
      <w:r>
        <w:rPr>
          <w:color w:val="auto"/>
        </w:rPr>
        <w:t>Gietz</w:t>
      </w:r>
      <w:proofErr w:type="spellEnd"/>
      <w:r>
        <w:rPr>
          <w:color w:val="auto"/>
        </w:rPr>
        <w:t xml:space="preserve">, A. Justus, K. </w:t>
      </w:r>
      <w:proofErr w:type="spellStart"/>
      <w:r>
        <w:rPr>
          <w:color w:val="auto"/>
        </w:rPr>
        <w:t>Laitenberger</w:t>
      </w:r>
      <w:proofErr w:type="spellEnd"/>
      <w:r>
        <w:rPr>
          <w:color w:val="auto"/>
        </w:rPr>
        <w:t xml:space="preserve">, W. </w:t>
      </w:r>
      <w:proofErr w:type="spellStart"/>
      <w:r>
        <w:rPr>
          <w:color w:val="auto"/>
        </w:rPr>
        <w:t>Schierle</w:t>
      </w:r>
      <w:proofErr w:type="spellEnd"/>
      <w:r>
        <w:rPr>
          <w:color w:val="auto"/>
        </w:rPr>
        <w:t>, Elemente Chemie I – Unterrichtswerk für Gymnasium, Ernst Klett Verlag, 1986, S. 170.</w:t>
      </w:r>
    </w:p>
    <w:p w:rsidR="00D43D17" w:rsidRPr="006E32AF" w:rsidRDefault="00D43D17" w:rsidP="00D43D17">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5017AB3A" wp14:editId="3710A69D">
                <wp:extent cx="5873115" cy="1932317"/>
                <wp:effectExtent l="0" t="0" r="13335" b="1079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3231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3D17" w:rsidRDefault="00D43D17" w:rsidP="00D43D17">
                            <w:pPr>
                              <w:rPr>
                                <w:color w:val="auto"/>
                              </w:rPr>
                            </w:pPr>
                            <w:r w:rsidRPr="00BA5BDE">
                              <w:rPr>
                                <w:color w:val="auto"/>
                              </w:rPr>
                              <w:t>Dieser Versuch eignet sich sehr gut um die Beobachtungen von Lavo</w:t>
                            </w:r>
                            <w:r>
                              <w:rPr>
                                <w:color w:val="auto"/>
                              </w:rPr>
                              <w:t>i</w:t>
                            </w:r>
                            <w:r w:rsidRPr="00BA5BDE">
                              <w:rPr>
                                <w:color w:val="auto"/>
                              </w:rPr>
                              <w:t xml:space="preserve">sier zu bestätigen. </w:t>
                            </w:r>
                            <w:r>
                              <w:rPr>
                                <w:color w:val="auto"/>
                              </w:rPr>
                              <w:t xml:space="preserve"> Falls statt dem Universalindikator Lackmus verwendet wird, muss</w:t>
                            </w:r>
                            <w:r w:rsidRPr="00BA5BDE">
                              <w:rPr>
                                <w:color w:val="auto"/>
                              </w:rPr>
                              <w:t xml:space="preserve"> beachtet werden, dass Lackmus im Verdacht steht eine krebserregende Wirkung zu haben, sodass dieses Experiment nur als Lehrerde</w:t>
                            </w:r>
                            <w:r>
                              <w:rPr>
                                <w:color w:val="auto"/>
                              </w:rPr>
                              <w:t>m</w:t>
                            </w:r>
                            <w:r w:rsidRPr="00BA5BDE">
                              <w:rPr>
                                <w:color w:val="auto"/>
                              </w:rPr>
                              <w:t>onstrationsexperiment durchgeführt werden sollte.</w:t>
                            </w:r>
                            <w:r>
                              <w:rPr>
                                <w:color w:val="auto"/>
                              </w:rPr>
                              <w:t xml:space="preserve"> </w:t>
                            </w:r>
                          </w:p>
                          <w:p w:rsidR="00D43D17" w:rsidRPr="00BA5BDE" w:rsidRDefault="00D43D17" w:rsidP="00D43D17">
                            <w:pPr>
                              <w:rPr>
                                <w:color w:val="auto"/>
                              </w:rPr>
                            </w:pPr>
                            <w:r>
                              <w:rPr>
                                <w:color w:val="auto"/>
                              </w:rPr>
                              <w:t>Die größte Schwierigkeit liegt in diesem Versuch darin eine neutrale Lösung im Standzylinder vorzulegen, damit sich der Universalindikator grün färbt. Der Vorteil von Lackmus ist hierbei, dass er weniger empfindlich reagiert.</w:t>
                            </w:r>
                          </w:p>
                        </w:txbxContent>
                      </wps:txbx>
                      <wps:bodyPr rot="0" vert="horz" wrap="square" lIns="91440" tIns="45720" rIns="91440" bIns="45720" anchor="t" anchorCtr="0" upright="1">
                        <a:noAutofit/>
                      </wps:bodyPr>
                    </wps:wsp>
                  </a:graphicData>
                </a:graphic>
              </wp:inline>
            </w:drawing>
          </mc:Choice>
          <mc:Fallback>
            <w:pict>
              <v:shape w14:anchorId="5017AB3A" id="Textfeld 2" o:spid="_x0000_s1029" type="#_x0000_t202" style="width:462.45pt;height:1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" fillcolor="white [3201]" strokecolor="#ed7d31 [3205]" strokeweight="1pt">
                <v:stroke dashstyle="dash"/>
                <v:shadow color="#868686"/>
                <v:textbox>
                  <w:txbxContent>
                    <w:p w:rsidR="00D43D17" w:rsidRDefault="00D43D17" w:rsidP="00D43D17">
                      <w:pPr>
                        <w:rPr>
                          <w:color w:val="auto"/>
                        </w:rPr>
                      </w:pPr>
                      <w:r w:rsidRPr="00BA5BDE">
                        <w:rPr>
                          <w:color w:val="auto"/>
                        </w:rPr>
                        <w:t>Dieser Versuch eignet sich sehr gut um die Beobachtungen von Lavo</w:t>
                      </w:r>
                      <w:r>
                        <w:rPr>
                          <w:color w:val="auto"/>
                        </w:rPr>
                        <w:t>i</w:t>
                      </w:r>
                      <w:r w:rsidRPr="00BA5BDE">
                        <w:rPr>
                          <w:color w:val="auto"/>
                        </w:rPr>
                        <w:t xml:space="preserve">sier zu bestätigen. </w:t>
                      </w:r>
                      <w:r>
                        <w:rPr>
                          <w:color w:val="auto"/>
                        </w:rPr>
                        <w:t xml:space="preserve"> Falls statt dem Universalindikator Lackmus verwendet wird, muss</w:t>
                      </w:r>
                      <w:r w:rsidRPr="00BA5BDE">
                        <w:rPr>
                          <w:color w:val="auto"/>
                        </w:rPr>
                        <w:t xml:space="preserve"> beachtet werden, dass Lackmus im Verdacht steht eine krebserregende Wirkung zu haben, sodass dieses Experiment nur als Lehrerde</w:t>
                      </w:r>
                      <w:r>
                        <w:rPr>
                          <w:color w:val="auto"/>
                        </w:rPr>
                        <w:t>m</w:t>
                      </w:r>
                      <w:r w:rsidRPr="00BA5BDE">
                        <w:rPr>
                          <w:color w:val="auto"/>
                        </w:rPr>
                        <w:t>onstrationsexperiment durchgeführt werden sollte.</w:t>
                      </w:r>
                      <w:r>
                        <w:rPr>
                          <w:color w:val="auto"/>
                        </w:rPr>
                        <w:t xml:space="preserve"> </w:t>
                      </w:r>
                    </w:p>
                    <w:p w:rsidR="00D43D17" w:rsidRPr="00BA5BDE" w:rsidRDefault="00D43D17" w:rsidP="00D43D17">
                      <w:pPr>
                        <w:rPr>
                          <w:color w:val="auto"/>
                        </w:rPr>
                      </w:pPr>
                      <w:r>
                        <w:rPr>
                          <w:color w:val="auto"/>
                        </w:rPr>
                        <w:t>Die größte Schwierigkeit liegt in diesem Versuch darin eine neutrale Lösung im Standzylinder vorzulegen, damit sich der Universalindikator grün färbt. Der Vorteil von Lackmus ist hierbei, dass er weniger empfindlich reagiert.</w:t>
                      </w:r>
                    </w:p>
                  </w:txbxContent>
                </v:textbox>
                <w10:anchorlock/>
              </v:shape>
            </w:pict>
          </mc:Fallback>
        </mc:AlternateContent>
      </w:r>
    </w:p>
    <w:p w:rsidR="00033AA0" w:rsidRPr="00D43D17" w:rsidRDefault="00033AA0" w:rsidP="00D43D17">
      <w:pPr>
        <w:spacing w:line="276" w:lineRule="auto"/>
        <w:jc w:val="left"/>
        <w:rPr>
          <w:rFonts w:asciiTheme="majorHAnsi" w:eastAsiaTheme="majorEastAsia" w:hAnsiTheme="majorHAnsi" w:cstheme="majorBidi"/>
          <w:b/>
          <w:bCs/>
          <w:color w:val="2E74B5" w:themeColor="accent1" w:themeShade="BF"/>
          <w:sz w:val="28"/>
          <w:szCs w:val="28"/>
        </w:rPr>
      </w:pPr>
    </w:p>
    <w:sectPr w:rsidR="00033AA0" w:rsidRPr="00D43D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17"/>
    <w:rsid w:val="00033AA0"/>
    <w:rsid w:val="00D43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BAD04-F499-403B-892D-D0DF166E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3D1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43D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D43D1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3D17"/>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D43D17"/>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D43D17"/>
    <w:pPr>
      <w:spacing w:line="240" w:lineRule="auto"/>
    </w:pPr>
    <w:rPr>
      <w:bCs/>
      <w:color w:val="auto"/>
      <w:sz w:val="18"/>
      <w:szCs w:val="18"/>
    </w:rPr>
  </w:style>
  <w:style w:type="table" w:styleId="HelleListe-Akzent1">
    <w:name w:val="Light List Accent 1"/>
    <w:basedOn w:val="NormaleTabelle"/>
    <w:uiPriority w:val="61"/>
    <w:rsid w:val="00D43D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2015-08-22T14:52:00Z</dcterms:created>
  <dcterms:modified xsi:type="dcterms:W3CDTF">2015-08-22T14:53:00Z</dcterms:modified>
</cp:coreProperties>
</file>