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07" w:rsidRDefault="00A82207" w:rsidP="00A82207">
      <w:pPr>
        <w:pStyle w:val="berschrift1"/>
        <w:spacing w:before="360" w:after="240"/>
        <w:ind w:left="432"/>
      </w:pPr>
      <w:bookmarkStart w:id="0" w:name="_Toc426996039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98E43" wp14:editId="52E3832B">
                <wp:simplePos x="0" y="0"/>
                <wp:positionH relativeFrom="column">
                  <wp:posOffset>-50165</wp:posOffset>
                </wp:positionH>
                <wp:positionV relativeFrom="paragraph">
                  <wp:posOffset>713105</wp:posOffset>
                </wp:positionV>
                <wp:extent cx="5873115" cy="796925"/>
                <wp:effectExtent l="0" t="0" r="13335" b="22225"/>
                <wp:wrapSquare wrapText="bothSides"/>
                <wp:docPr id="49" name="Textfeld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2207" w:rsidRPr="00F31EBF" w:rsidRDefault="00A82207" w:rsidP="00A82207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Dieser Versuch zeigt den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>, dass zwischen der Stärke einer Säure unterschieden werden kann. Es wird vorausgesetzt, dass bereits das Säure-Base-Konzept nach Arrhenius behandelt worden ist und auch die elektrolytische Dissoziation besprochen wurde.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8E43" id="_x0000_t202" coordsize="21600,21600" o:spt="202" path="m,l,21600r21600,l21600,xe">
                <v:stroke joinstyle="miter"/>
                <v:path gradientshapeok="t" o:connecttype="rect"/>
              </v:shapetype>
              <v:shape id="Textfeld 49" o:spid="_x0000_s1026" type="#_x0000_t202" style="position:absolute;left:0;text-align:left;margin-left:-3.95pt;margin-top:56.15pt;width:462.4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" fillcolor="white [3201]" strokecolor="#4472c4 [3208]" strokeweight="1pt">
                <v:stroke dashstyle="dash"/>
                <v:shadow color="#868686"/>
                <v:textbox>
                  <w:txbxContent>
                    <w:p w:rsidR="00A82207" w:rsidRPr="00F31EBF" w:rsidRDefault="00A82207" w:rsidP="00A82207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Dieser Versuch zeigt den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>, dass zwischen der Stärke einer Säure unterschieden werden kann. Es wird vorausgesetzt, dass bereits das Säure-Base-Konzept nach Arrhenius behandelt worden ist und auch die elektrolytische Dissoziation besprochen wurde.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Schülerversuch – Leitfähigkeit von sauren Lösungen</w:t>
      </w:r>
      <w:bookmarkEnd w:id="0"/>
    </w:p>
    <w:p w:rsidR="00A82207" w:rsidRPr="00C62266" w:rsidRDefault="00A82207" w:rsidP="00A82207"/>
    <w:tbl>
      <w:tblPr>
        <w:tblStyle w:val="HelleListe-Akzent1"/>
        <w:tblW w:w="9322" w:type="dxa"/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82207" w:rsidRPr="00EC3ADA" w:rsidTr="00C26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9"/>
          </w:tcPr>
          <w:p w:rsidR="00A82207" w:rsidRPr="00EC3ADA" w:rsidRDefault="00A82207" w:rsidP="00C262F4">
            <w:pPr>
              <w:jc w:val="center"/>
              <w:rPr>
                <w:b w:val="0"/>
                <w:bCs w:val="0"/>
                <w:color w:val="FFFFFF" w:themeColor="background1"/>
              </w:rPr>
            </w:pPr>
            <w:r w:rsidRPr="00EC3ADA">
              <w:rPr>
                <w:b w:val="0"/>
                <w:color w:val="FFFFFF" w:themeColor="background1"/>
              </w:rPr>
              <w:t>Gefahrenstoffe</w:t>
            </w:r>
          </w:p>
        </w:tc>
      </w:tr>
      <w:tr w:rsidR="00A82207" w:rsidRPr="00EC3ADA" w:rsidTr="00C26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gridSpan w:val="3"/>
          </w:tcPr>
          <w:p w:rsidR="00A82207" w:rsidRPr="00EC3ADA" w:rsidRDefault="00A82207" w:rsidP="00C262F4">
            <w:pPr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C3ADA">
              <w:rPr>
                <w:b w:val="0"/>
                <w:sz w:val="20"/>
                <w:szCs w:val="20"/>
              </w:rPr>
              <w:t xml:space="preserve">Essigsäure (c=0,1 </w:t>
            </w:r>
            <w:proofErr w:type="spellStart"/>
            <w:r w:rsidRPr="00EC3ADA">
              <w:rPr>
                <w:b w:val="0"/>
                <w:sz w:val="20"/>
                <w:szCs w:val="20"/>
              </w:rPr>
              <w:t>mol</w:t>
            </w:r>
            <w:proofErr w:type="spellEnd"/>
            <w:r w:rsidRPr="00EC3ADA">
              <w:rPr>
                <w:b w:val="0"/>
                <w:sz w:val="20"/>
                <w:szCs w:val="20"/>
              </w:rPr>
              <w:t>/L)</w:t>
            </w:r>
          </w:p>
        </w:tc>
        <w:tc>
          <w:tcPr>
            <w:tcW w:w="3177" w:type="dxa"/>
            <w:gridSpan w:val="3"/>
          </w:tcPr>
          <w:p w:rsidR="00A82207" w:rsidRPr="00EC3ADA" w:rsidRDefault="00A82207" w:rsidP="00C26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3ADA"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</w:tcPr>
          <w:p w:rsidR="00A82207" w:rsidRPr="00EC3ADA" w:rsidRDefault="00A82207" w:rsidP="00C26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3ADA">
              <w:rPr>
                <w:sz w:val="20"/>
                <w:szCs w:val="20"/>
              </w:rPr>
              <w:t>P: -</w:t>
            </w:r>
          </w:p>
        </w:tc>
      </w:tr>
      <w:tr w:rsidR="00A82207" w:rsidRPr="00EC3ADA" w:rsidTr="00C262F4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gridSpan w:val="3"/>
          </w:tcPr>
          <w:p w:rsidR="00A82207" w:rsidRPr="00EC3ADA" w:rsidRDefault="00A82207" w:rsidP="00C262F4">
            <w:pPr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C3ADA">
              <w:rPr>
                <w:b w:val="0"/>
                <w:color w:val="auto"/>
                <w:sz w:val="20"/>
                <w:szCs w:val="20"/>
              </w:rPr>
              <w:t xml:space="preserve">Salzsäure (c=0,1 </w:t>
            </w:r>
            <w:proofErr w:type="spellStart"/>
            <w:r w:rsidRPr="00EC3ADA">
              <w:rPr>
                <w:b w:val="0"/>
                <w:color w:val="auto"/>
                <w:sz w:val="20"/>
                <w:szCs w:val="20"/>
              </w:rPr>
              <w:t>mol</w:t>
            </w:r>
            <w:proofErr w:type="spellEnd"/>
            <w:r w:rsidRPr="00EC3ADA">
              <w:rPr>
                <w:b w:val="0"/>
                <w:color w:val="auto"/>
                <w:sz w:val="20"/>
                <w:szCs w:val="20"/>
              </w:rPr>
              <w:t>/L)</w:t>
            </w:r>
          </w:p>
        </w:tc>
        <w:tc>
          <w:tcPr>
            <w:tcW w:w="3177" w:type="dxa"/>
            <w:gridSpan w:val="3"/>
          </w:tcPr>
          <w:p w:rsidR="00A82207" w:rsidRPr="00EC3ADA" w:rsidRDefault="00A82207" w:rsidP="00C262F4">
            <w:pPr>
              <w:pStyle w:val="Beschriftu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3ADA">
              <w:rPr>
                <w:sz w:val="20"/>
                <w:szCs w:val="20"/>
              </w:rPr>
              <w:t>H: 290</w:t>
            </w:r>
          </w:p>
        </w:tc>
        <w:tc>
          <w:tcPr>
            <w:tcW w:w="3118" w:type="dxa"/>
            <w:gridSpan w:val="3"/>
          </w:tcPr>
          <w:p w:rsidR="00A82207" w:rsidRPr="00EC3ADA" w:rsidRDefault="00A82207" w:rsidP="00C262F4">
            <w:pPr>
              <w:pStyle w:val="Beschriftu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3ADA">
              <w:rPr>
                <w:sz w:val="20"/>
                <w:szCs w:val="20"/>
              </w:rPr>
              <w:t>P: -</w:t>
            </w:r>
          </w:p>
        </w:tc>
      </w:tr>
      <w:tr w:rsidR="00A82207" w:rsidRPr="00EC3ADA" w:rsidTr="00C26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gridSpan w:val="3"/>
          </w:tcPr>
          <w:p w:rsidR="00A82207" w:rsidRPr="00EC3ADA" w:rsidRDefault="00A82207" w:rsidP="00C262F4">
            <w:pPr>
              <w:spacing w:line="276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EC3ADA">
              <w:rPr>
                <w:b w:val="0"/>
                <w:color w:val="auto"/>
                <w:sz w:val="20"/>
                <w:szCs w:val="20"/>
              </w:rPr>
              <w:t>Universalindikator</w:t>
            </w:r>
          </w:p>
        </w:tc>
        <w:tc>
          <w:tcPr>
            <w:tcW w:w="3177" w:type="dxa"/>
            <w:gridSpan w:val="3"/>
          </w:tcPr>
          <w:p w:rsidR="00A82207" w:rsidRPr="00EC3ADA" w:rsidRDefault="00A82207" w:rsidP="00C262F4">
            <w:pPr>
              <w:pStyle w:val="Beschrif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3ADA">
              <w:rPr>
                <w:sz w:val="20"/>
                <w:szCs w:val="20"/>
              </w:rPr>
              <w:t>H: 225</w:t>
            </w:r>
          </w:p>
        </w:tc>
        <w:tc>
          <w:tcPr>
            <w:tcW w:w="3118" w:type="dxa"/>
            <w:gridSpan w:val="3"/>
          </w:tcPr>
          <w:p w:rsidR="00A82207" w:rsidRPr="00EC3ADA" w:rsidRDefault="00A82207" w:rsidP="00C262F4">
            <w:pPr>
              <w:pStyle w:val="Beschrif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3ADA">
              <w:rPr>
                <w:sz w:val="20"/>
                <w:szCs w:val="20"/>
              </w:rPr>
              <w:t>P: 210, 233, 370+378a, 403+235</w:t>
            </w:r>
          </w:p>
        </w:tc>
      </w:tr>
      <w:tr w:rsidR="00A82207" w:rsidRPr="00EC3ADA" w:rsidTr="00C26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:rsidR="00A82207" w:rsidRPr="00EC3ADA" w:rsidRDefault="00A82207" w:rsidP="00C262F4">
            <w:pPr>
              <w:jc w:val="center"/>
              <w:rPr>
                <w:b w:val="0"/>
                <w:bCs w:val="0"/>
              </w:rPr>
            </w:pPr>
            <w:r w:rsidRPr="00EC3ADA">
              <w:rPr>
                <w:noProof/>
                <w:lang w:eastAsia="de-DE"/>
              </w:rPr>
              <w:drawing>
                <wp:inline distT="0" distB="0" distL="0" distR="0" wp14:anchorId="7D2BF8DC" wp14:editId="1AF713E0">
                  <wp:extent cx="504190" cy="504190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82207" w:rsidRPr="00EC3ADA" w:rsidRDefault="00A82207" w:rsidP="00C26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ADA">
              <w:rPr>
                <w:noProof/>
                <w:lang w:eastAsia="de-DE"/>
              </w:rPr>
              <w:drawing>
                <wp:inline distT="0" distB="0" distL="0" distR="0" wp14:anchorId="13C226E9" wp14:editId="1A5B6468">
                  <wp:extent cx="504190" cy="50419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82207" w:rsidRPr="00EC3ADA" w:rsidRDefault="00A82207" w:rsidP="00C26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ADA">
              <w:rPr>
                <w:noProof/>
                <w:lang w:eastAsia="de-DE"/>
              </w:rPr>
              <w:drawing>
                <wp:inline distT="0" distB="0" distL="0" distR="0" wp14:anchorId="3F27A041" wp14:editId="6E3BB979">
                  <wp:extent cx="491705" cy="491705"/>
                  <wp:effectExtent l="0" t="0" r="3810" b="3810"/>
                  <wp:docPr id="50" name="Grafik 50" descr="C:\Users\Annika\Desktop\SV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ika\Desktop\SV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02" cy="49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82207" w:rsidRPr="00EC3ADA" w:rsidRDefault="00A82207" w:rsidP="00C26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ADA">
              <w:rPr>
                <w:noProof/>
                <w:lang w:eastAsia="de-DE"/>
              </w:rPr>
              <w:drawing>
                <wp:inline distT="0" distB="0" distL="0" distR="0" wp14:anchorId="04474B53" wp14:editId="3E216613">
                  <wp:extent cx="504190" cy="504190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A82207" w:rsidRPr="00EC3ADA" w:rsidRDefault="00A82207" w:rsidP="00C26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ADA">
              <w:rPr>
                <w:noProof/>
                <w:lang w:eastAsia="de-DE"/>
              </w:rPr>
              <w:drawing>
                <wp:inline distT="0" distB="0" distL="0" distR="0" wp14:anchorId="2255C637" wp14:editId="4FA1E141">
                  <wp:extent cx="504190" cy="50419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82207" w:rsidRPr="00EC3ADA" w:rsidRDefault="00A82207" w:rsidP="00C26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ADA">
              <w:rPr>
                <w:noProof/>
                <w:lang w:eastAsia="de-DE"/>
              </w:rPr>
              <w:drawing>
                <wp:inline distT="0" distB="0" distL="0" distR="0" wp14:anchorId="104B5A13" wp14:editId="35CB4E1D">
                  <wp:extent cx="526211" cy="526211"/>
                  <wp:effectExtent l="0" t="0" r="7620" b="7620"/>
                  <wp:docPr id="51" name="Grafik 51" descr="C:\Users\Annika\Desktop\SVP\Piktogramme\Grau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ika\Desktop\SVP\Piktogramme\Grau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71" cy="52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A82207" w:rsidRPr="00EC3ADA" w:rsidRDefault="00A82207" w:rsidP="00C26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ADA">
              <w:rPr>
                <w:noProof/>
                <w:lang w:eastAsia="de-DE"/>
              </w:rPr>
              <w:drawing>
                <wp:inline distT="0" distB="0" distL="0" distR="0" wp14:anchorId="538085C0" wp14:editId="04980114">
                  <wp:extent cx="508959" cy="508959"/>
                  <wp:effectExtent l="0" t="0" r="5715" b="5715"/>
                  <wp:docPr id="52" name="Grafik 52" descr="C:\Users\Annika\Desktop\SVP\Piktogramme\Grau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ika\Desktop\SVP\Piktogramme\Grau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17" cy="50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82207" w:rsidRPr="00EC3ADA" w:rsidRDefault="00A82207" w:rsidP="00C26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ADA">
              <w:rPr>
                <w:noProof/>
                <w:lang w:eastAsia="de-DE"/>
              </w:rPr>
              <w:drawing>
                <wp:inline distT="0" distB="0" distL="0" distR="0" wp14:anchorId="566E0613" wp14:editId="55EBEE61">
                  <wp:extent cx="534838" cy="534838"/>
                  <wp:effectExtent l="0" t="0" r="0" b="0"/>
                  <wp:docPr id="53" name="Grafik 53" descr="C:\Users\Annika\Desktop\SVP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ika\Desktop\SVP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98" cy="534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82207" w:rsidRPr="00EC3ADA" w:rsidRDefault="00A82207" w:rsidP="00C26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ADA">
              <w:rPr>
                <w:noProof/>
                <w:lang w:eastAsia="de-DE"/>
              </w:rPr>
              <w:drawing>
                <wp:inline distT="0" distB="0" distL="0" distR="0" wp14:anchorId="5724D328" wp14:editId="3AC59028">
                  <wp:extent cx="504190" cy="50419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207" w:rsidRDefault="00A82207" w:rsidP="00A82207">
      <w:pPr>
        <w:tabs>
          <w:tab w:val="left" w:pos="1701"/>
          <w:tab w:val="left" w:pos="1985"/>
        </w:tabs>
        <w:ind w:left="1980" w:hanging="1980"/>
        <w:rPr>
          <w:color w:val="44546A" w:themeColor="text2"/>
        </w:rPr>
      </w:pP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 Multimeter, Kabel, Transformator, Leitfähigkeitsprüfer, Stativmaterial, 2 Bechergläser (100 </w:t>
      </w:r>
      <w:proofErr w:type="spellStart"/>
      <w:r>
        <w:t>mL</w:t>
      </w:r>
      <w:proofErr w:type="spellEnd"/>
      <w:r>
        <w:t xml:space="preserve">), Becherglas (500 </w:t>
      </w:r>
      <w:proofErr w:type="spellStart"/>
      <w:r>
        <w:t>mL</w:t>
      </w:r>
      <w:proofErr w:type="spellEnd"/>
      <w:r>
        <w:t>)</w:t>
      </w: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8381437" wp14:editId="2A6C58F9">
            <wp:simplePos x="0" y="0"/>
            <wp:positionH relativeFrom="column">
              <wp:posOffset>4076065</wp:posOffset>
            </wp:positionH>
            <wp:positionV relativeFrom="paragraph">
              <wp:posOffset>374650</wp:posOffset>
            </wp:positionV>
            <wp:extent cx="2390775" cy="2096135"/>
            <wp:effectExtent l="0" t="0" r="9525" b="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fähigkeitsmessun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Chemikalien:</w:t>
      </w:r>
      <w:r>
        <w:tab/>
      </w:r>
      <w:r>
        <w:tab/>
        <w:t>destilliertes Wasser, 0,1 M Salzsäure, 0,1 M Essigsäure</w:t>
      </w: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>Der Versuch wird gemäß Abb. 3 aufgebaut. Anschließend wird die elektrische Leitfähigkeit mittels Leitfähigkeitsprüfer gemessen, in dem dieser in die Lösung getaucht wird. Währenddessen wird die gemessene elektrische Stromstärke bei 5V Wechselspannung abgelesen.</w:t>
      </w: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E1DE1" wp14:editId="61ECF6E9">
                <wp:simplePos x="0" y="0"/>
                <wp:positionH relativeFrom="column">
                  <wp:posOffset>4197985</wp:posOffset>
                </wp:positionH>
                <wp:positionV relativeFrom="paragraph">
                  <wp:posOffset>335280</wp:posOffset>
                </wp:positionV>
                <wp:extent cx="2380615" cy="635"/>
                <wp:effectExtent l="0" t="0" r="635" b="5080"/>
                <wp:wrapTight wrapText="bothSides">
                  <wp:wrapPolygon edited="0">
                    <wp:start x="0" y="0"/>
                    <wp:lineTo x="0" y="20836"/>
                    <wp:lineTo x="21433" y="20836"/>
                    <wp:lineTo x="21433" y="0"/>
                    <wp:lineTo x="0" y="0"/>
                  </wp:wrapPolygon>
                </wp:wrapTight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2207" w:rsidRPr="00173045" w:rsidRDefault="00A82207" w:rsidP="00A82207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schematischer Versuchsaufbau zur Messung der Leitfähigkeit verschiedener Säuren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E1DE1" id="Textfeld 4" o:spid="_x0000_s1027" type="#_x0000_t202" style="position:absolute;left:0;text-align:left;margin-left:330.55pt;margin-top:26.4pt;width:187.4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" stroked="f">
                <v:textbox style="mso-fit-shape-to-text:t" inset="0,0,0,0">
                  <w:txbxContent>
                    <w:p w:rsidR="00A82207" w:rsidRPr="00173045" w:rsidRDefault="00A82207" w:rsidP="00A82207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schematischer Versuchsaufbau zur Messung der Leitfähigkeit verschiedener Säuren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Die elektrische Stromstärke in 0,1 M Salzsäure beträgt 120 mA und in 0,1 M Essigsäure 30 mA. </w:t>
      </w: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 xml:space="preserve">Essigsäure leitet den elektrischen Strom schlechter als Salzsäure trotz gleicher Konzentrationen. </w:t>
      </w: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  <w:r>
        <w:lastRenderedPageBreak/>
        <w:tab/>
      </w:r>
      <w:r>
        <w:tab/>
        <w:t>Salzsäure ist eine starke Säure und dissoziiert in Wasser vollständig zu Chlorid- und Wasserstoff-Ionen. Essigsäure als schwache Säure dissoziiert dagegen in Wasser nicht vollständig zu Wasserstoff-Ionen und Acetat-Ionen und leitet somit die elektrische Stromstäke weniger. Des Weiteren ist das Acetat-Ion im Vergleich zum Chlorid-Ion größer und trägt somit weniger zum Ionentransport (Leitfähigkeit) in der Lösung bei.</w:t>
      </w: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Lösungen werden in den Abfallbehälter für Säuren-und Basen entsorgt.</w:t>
      </w: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W. </w:t>
      </w:r>
      <w:proofErr w:type="spellStart"/>
      <w:r>
        <w:t>Asselborn</w:t>
      </w:r>
      <w:proofErr w:type="spellEnd"/>
      <w:r>
        <w:t>, M. Jäckel, K. T. Risch (Hrsg.), Chemie heute – Sekundarbereich I, Schroedel, 2001, S. 159.</w:t>
      </w: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</w:p>
    <w:p w:rsidR="00A82207" w:rsidRDefault="00A82207" w:rsidP="00A82207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AC92EFF" wp14:editId="731CCB1E">
                <wp:extent cx="5760720" cy="1199071"/>
                <wp:effectExtent l="0" t="0" r="11430" b="20320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9907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2207" w:rsidRDefault="00A82207" w:rsidP="00A82207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Dieser Versuch eignet sich sehr gut als Problemexperiment, da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oft aus gleichen Konzentrationen auch gleiche Säurestärken schließen.</w:t>
                            </w:r>
                          </w:p>
                          <w:p w:rsidR="00A82207" w:rsidRPr="00BA5BDE" w:rsidRDefault="00A82207" w:rsidP="00A82207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Des Weiteren könnte als Anschlussexperiment der pH-Wert der beiden sauren Lösungen gemessen werden, um den Begriff der Säurestärke quantitativ zu messen.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C92EFF" id="Textfeld 5" o:spid="_x0000_s1028" type="#_x0000_t202" style="width:453.6pt;height:9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" fillcolor="white [3201]" strokecolor="#ed7d31 [3205]" strokeweight="1pt">
                <v:stroke dashstyle="dash"/>
                <v:shadow color="#868686"/>
                <v:textbox>
                  <w:txbxContent>
                    <w:p w:rsidR="00A82207" w:rsidRDefault="00A82207" w:rsidP="00A82207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Dieser Versuch eignet sich sehr gut als Problemexperiment, da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oft aus gleichen Konzentrationen auch gleiche Säurestärken schließen.</w:t>
                      </w:r>
                    </w:p>
                    <w:p w:rsidR="00A82207" w:rsidRPr="00BA5BDE" w:rsidRDefault="00A82207" w:rsidP="00A82207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Des Weiteren könnte als Anschlussexperiment der pH-Wert der beiden sauren Lösungen gemessen werden, um den Begriff der Säurestärke quantitativ zu messen.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3AA0" w:rsidRDefault="00033AA0"/>
    <w:sectPr w:rsidR="00033A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07"/>
    <w:rsid w:val="00033AA0"/>
    <w:rsid w:val="00A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B47A2-2CFF-493C-9512-8040F0B4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2207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2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22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A82207"/>
    <w:pPr>
      <w:spacing w:line="240" w:lineRule="auto"/>
    </w:pPr>
    <w:rPr>
      <w:bCs/>
      <w:color w:val="auto"/>
      <w:sz w:val="18"/>
      <w:szCs w:val="18"/>
    </w:rPr>
  </w:style>
  <w:style w:type="table" w:styleId="HelleListe-Akzent1">
    <w:name w:val="Light List Accent 1"/>
    <w:basedOn w:val="NormaleTabelle"/>
    <w:uiPriority w:val="61"/>
    <w:rsid w:val="00A8220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Münch</dc:creator>
  <cp:keywords/>
  <dc:description/>
  <cp:lastModifiedBy>Annika Münch</cp:lastModifiedBy>
  <cp:revision>1</cp:revision>
  <dcterms:created xsi:type="dcterms:W3CDTF">2015-08-22T15:01:00Z</dcterms:created>
  <dcterms:modified xsi:type="dcterms:W3CDTF">2015-08-22T15:01:00Z</dcterms:modified>
</cp:coreProperties>
</file>