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3CA28" w14:textId="77777777" w:rsidR="00011533" w:rsidRPr="009D1355" w:rsidRDefault="00011533" w:rsidP="00011533">
      <w:pPr>
        <w:autoSpaceDE w:val="0"/>
        <w:autoSpaceDN w:val="0"/>
        <w:adjustRightInd w:val="0"/>
        <w:rPr>
          <w:rFonts w:ascii="Times-Roman" w:hAnsi="Times-Roman" w:cs="Times-Roman"/>
        </w:rPr>
      </w:pPr>
      <w:r>
        <w:rPr>
          <w:rFonts w:ascii="Times-Roman" w:hAnsi="Times-Roman" w:cs="Times-Roman"/>
          <w:b/>
          <w:sz w:val="28"/>
          <w:szCs w:val="28"/>
        </w:rPr>
        <w:t>Schulversuchspraktikum</w:t>
      </w:r>
    </w:p>
    <w:p w14:paraId="723F4814" w14:textId="77777777" w:rsidR="00011533" w:rsidRDefault="008055C7" w:rsidP="00011533">
      <w:pPr>
        <w:spacing w:line="276" w:lineRule="auto"/>
      </w:pPr>
      <w:r>
        <w:t>Annika Münch</w:t>
      </w:r>
    </w:p>
    <w:p w14:paraId="00BD2885" w14:textId="28F4BD88" w:rsidR="00011533" w:rsidRDefault="006F2A5C" w:rsidP="00011533">
      <w:pPr>
        <w:spacing w:line="276" w:lineRule="auto"/>
      </w:pPr>
      <w:r>
        <w:rPr>
          <w:noProof/>
          <w:lang w:eastAsia="de-DE"/>
        </w:rPr>
        <w:drawing>
          <wp:anchor distT="0" distB="0" distL="114300" distR="114300" simplePos="0" relativeHeight="251658239" behindDoc="0" locked="0" layoutInCell="1" allowOverlap="1" wp14:anchorId="104F9655" wp14:editId="5846F266">
            <wp:simplePos x="0" y="0"/>
            <wp:positionH relativeFrom="column">
              <wp:posOffset>574040</wp:posOffset>
            </wp:positionH>
            <wp:positionV relativeFrom="paragraph">
              <wp:posOffset>808355</wp:posOffset>
            </wp:positionV>
            <wp:extent cx="4624070" cy="3082925"/>
            <wp:effectExtent l="133350" t="114300" r="138430" b="155575"/>
            <wp:wrapTopAndBottom/>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95.JPG"/>
                    <pic:cNvPicPr/>
                  </pic:nvPicPr>
                  <pic:blipFill>
                    <a:blip r:embed="rId8" cstate="print">
                      <a:extLst>
                        <a:ext uri="{28A0092B-C50C-407E-A947-70E740481C1C}">
                          <a14:useLocalDpi xmlns:a14="http://schemas.microsoft.com/office/drawing/2010/main"/>
                        </a:ext>
                      </a:extLst>
                    </a:blip>
                    <a:stretch>
                      <a:fillRect/>
                    </a:stretch>
                  </pic:blipFill>
                  <pic:spPr>
                    <a:xfrm>
                      <a:off x="0" y="0"/>
                      <a:ext cx="4624070" cy="3082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055C7">
        <w:t>Sommersemester</w:t>
      </w:r>
      <w:r w:rsidR="00F423C9">
        <w:t xml:space="preserve"> 201</w:t>
      </w:r>
      <w:r w:rsidR="00232321">
        <w:t>5</w:t>
      </w:r>
    </w:p>
    <w:p w14:paraId="73C83687" w14:textId="77777777" w:rsidR="006F2A5C" w:rsidRDefault="008055C7" w:rsidP="006F2A5C">
      <w:pPr>
        <w:spacing w:line="276" w:lineRule="auto"/>
      </w:pPr>
      <w:r>
        <w:t>Klassenstufe 9/10</w:t>
      </w:r>
    </w:p>
    <w:p w14:paraId="62E0CC6F" w14:textId="77777777" w:rsidR="006F2A5C" w:rsidRDefault="006F2A5C" w:rsidP="006F2A5C">
      <w:pPr>
        <w:spacing w:line="276" w:lineRule="auto"/>
      </w:pPr>
      <w:r>
        <w:rPr>
          <w:noProof/>
          <w:lang w:eastAsia="de-DE"/>
        </w:rPr>
        <w:drawing>
          <wp:anchor distT="0" distB="0" distL="114300" distR="114300" simplePos="0" relativeHeight="251673600" behindDoc="1" locked="0" layoutInCell="1" allowOverlap="1" wp14:anchorId="34CE23BF" wp14:editId="633E376B">
            <wp:simplePos x="0" y="0"/>
            <wp:positionH relativeFrom="column">
              <wp:posOffset>2805430</wp:posOffset>
            </wp:positionH>
            <wp:positionV relativeFrom="paragraph">
              <wp:posOffset>3587750</wp:posOffset>
            </wp:positionV>
            <wp:extent cx="2133600" cy="1838325"/>
            <wp:effectExtent l="133350" t="114300" r="152400" b="161925"/>
            <wp:wrapTight wrapText="bothSides">
              <wp:wrapPolygon edited="0">
                <wp:start x="-771" y="-1343"/>
                <wp:lineTo x="-1350" y="-895"/>
                <wp:lineTo x="-1350" y="20593"/>
                <wp:lineTo x="-964" y="23279"/>
                <wp:lineTo x="22564" y="23279"/>
                <wp:lineTo x="22950" y="20593"/>
                <wp:lineTo x="22950" y="2686"/>
                <wp:lineTo x="22371" y="-672"/>
                <wp:lineTo x="22371" y="-1343"/>
                <wp:lineTo x="-771" y="-1343"/>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12.JPG"/>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2133600" cy="1838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0F9936" w14:textId="77777777" w:rsidR="006F2A5C" w:rsidRDefault="006F2A5C" w:rsidP="006F2A5C">
      <w:pPr>
        <w:rPr>
          <w:rFonts w:ascii="Times New Roman" w:hAnsi="Times New Roman" w:cs="Times New Roman"/>
          <w:sz w:val="52"/>
          <w:szCs w:val="24"/>
        </w:rPr>
      </w:pPr>
      <w:r>
        <w:rPr>
          <w:noProof/>
          <w:lang w:eastAsia="de-DE"/>
        </w:rPr>
        <w:drawing>
          <wp:anchor distT="0" distB="0" distL="114300" distR="114300" simplePos="0" relativeHeight="251674624" behindDoc="1" locked="0" layoutInCell="1" allowOverlap="1" wp14:anchorId="64E0E653" wp14:editId="22F0F1EB">
            <wp:simplePos x="0" y="0"/>
            <wp:positionH relativeFrom="column">
              <wp:posOffset>280670</wp:posOffset>
            </wp:positionH>
            <wp:positionV relativeFrom="paragraph">
              <wp:posOffset>274955</wp:posOffset>
            </wp:positionV>
            <wp:extent cx="2847340" cy="1590040"/>
            <wp:effectExtent l="114300" t="114300" r="124460" b="162560"/>
            <wp:wrapTight wrapText="bothSides">
              <wp:wrapPolygon edited="0">
                <wp:start x="-867" y="22635"/>
                <wp:lineTo x="-434" y="22635"/>
                <wp:lineTo x="1734" y="23153"/>
                <wp:lineTo x="22689" y="23153"/>
                <wp:lineTo x="22689" y="-1432"/>
                <wp:lineTo x="-867" y="-1173"/>
                <wp:lineTo x="-867" y="22635"/>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06.JPG"/>
                    <pic:cNvPicPr/>
                  </pic:nvPicPr>
                  <pic:blipFill rotWithShape="1">
                    <a:blip r:embed="rId10" cstate="print">
                      <a:extLst>
                        <a:ext uri="{28A0092B-C50C-407E-A947-70E740481C1C}">
                          <a14:useLocalDpi xmlns:a14="http://schemas.microsoft.com/office/drawing/2010/main"/>
                        </a:ext>
                      </a:extLst>
                    </a:blip>
                    <a:srcRect/>
                    <a:stretch/>
                  </pic:blipFill>
                  <pic:spPr bwMode="auto">
                    <a:xfrm rot="5400000">
                      <a:off x="0" y="0"/>
                      <a:ext cx="2847340" cy="1590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75931F" w14:textId="77777777" w:rsidR="006F2A5C" w:rsidRDefault="006F2A5C" w:rsidP="006F2A5C">
      <w:pPr>
        <w:rPr>
          <w:rFonts w:ascii="Times New Roman" w:hAnsi="Times New Roman" w:cs="Times New Roman"/>
          <w:sz w:val="52"/>
          <w:szCs w:val="24"/>
        </w:rPr>
      </w:pPr>
    </w:p>
    <w:p w14:paraId="1399D253" w14:textId="77777777" w:rsidR="006F2A5C" w:rsidRDefault="006F2A5C" w:rsidP="006F2A5C">
      <w:pPr>
        <w:rPr>
          <w:rFonts w:ascii="Times New Roman" w:hAnsi="Times New Roman" w:cs="Times New Roman"/>
          <w:sz w:val="52"/>
          <w:szCs w:val="24"/>
        </w:rPr>
      </w:pPr>
    </w:p>
    <w:p w14:paraId="0F266743" w14:textId="77777777" w:rsidR="006F2A5C" w:rsidRDefault="006F2A5C" w:rsidP="006F2A5C">
      <w:pPr>
        <w:rPr>
          <w:rFonts w:ascii="Times New Roman" w:hAnsi="Times New Roman" w:cs="Times New Roman"/>
          <w:sz w:val="52"/>
          <w:szCs w:val="24"/>
        </w:rPr>
      </w:pPr>
    </w:p>
    <w:p w14:paraId="4F543627" w14:textId="77777777" w:rsidR="006F2A5C" w:rsidRDefault="006F2A5C" w:rsidP="006F2A5C">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70528" behindDoc="0" locked="0" layoutInCell="1" allowOverlap="1" wp14:anchorId="107D9034" wp14:editId="3C11C779">
                <wp:simplePos x="0" y="0"/>
                <wp:positionH relativeFrom="column">
                  <wp:posOffset>24130</wp:posOffset>
                </wp:positionH>
                <wp:positionV relativeFrom="paragraph">
                  <wp:posOffset>560705</wp:posOffset>
                </wp:positionV>
                <wp:extent cx="5695950" cy="0"/>
                <wp:effectExtent l="5080" t="8255" r="13970" b="10795"/>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3AE93" id="_x0000_t32" coordsize="21600,21600" o:spt="32" o:oned="t" path="m,l21600,21600e" filled="f">
                <v:path arrowok="t" fillok="f" o:connecttype="none"/>
                <o:lock v:ext="edit" shapetype="t"/>
              </v:shapetype>
              <v:shape id="Gerade Verbindung mit Pfeil 30" o:spid="_x0000_s1026" type="#_x0000_t32" style="position:absolute;margin-left:1.9pt;margin-top:44.15pt;width:44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"/>
            </w:pict>
          </mc:Fallback>
        </mc:AlternateContent>
      </w:r>
    </w:p>
    <w:p w14:paraId="6CAE5493" w14:textId="77777777" w:rsidR="006F2A5C" w:rsidRPr="00106ACC" w:rsidRDefault="006F2A5C" w:rsidP="006F2A5C">
      <w:pPr>
        <w:autoSpaceDE w:val="0"/>
        <w:autoSpaceDN w:val="0"/>
        <w:adjustRightInd w:val="0"/>
        <w:jc w:val="center"/>
        <w:rPr>
          <w:rFonts w:ascii="Times New Roman" w:hAnsi="Times New Roman" w:cs="Times New Roman"/>
          <w:b/>
          <w:sz w:val="52"/>
          <w:szCs w:val="52"/>
        </w:rPr>
      </w:pPr>
      <w:r w:rsidRPr="00106ACC">
        <w:rPr>
          <w:rFonts w:ascii="Times New Roman" w:hAnsi="Times New Roman" w:cs="Times New Roman"/>
          <w:b/>
          <w:noProof/>
          <w:sz w:val="52"/>
          <w:szCs w:val="52"/>
          <w:lang w:eastAsia="de-DE"/>
        </w:rPr>
        <mc:AlternateContent>
          <mc:Choice Requires="wps">
            <w:drawing>
              <wp:anchor distT="0" distB="0" distL="114300" distR="114300" simplePos="0" relativeHeight="251672576" behindDoc="0" locked="0" layoutInCell="1" allowOverlap="1" wp14:anchorId="111E49B9" wp14:editId="51FEECBD">
                <wp:simplePos x="0" y="0"/>
                <wp:positionH relativeFrom="column">
                  <wp:posOffset>147955</wp:posOffset>
                </wp:positionH>
                <wp:positionV relativeFrom="paragraph">
                  <wp:posOffset>540385</wp:posOffset>
                </wp:positionV>
                <wp:extent cx="5419725" cy="0"/>
                <wp:effectExtent l="5080" t="6985" r="13970" b="12065"/>
                <wp:wrapNone/>
                <wp:docPr id="29" name="Gerade Verbindung mit Pfe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0A71D" id="Gerade Verbindung mit Pfeil 29" o:spid="_x0000_s1026" type="#_x0000_t32" style="position:absolute;margin-left:11.65pt;margin-top:42.55pt;width:42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iqLQIAAE8EAAAOAAAAZHJzL2Uyb0RvYy54bWysVE2P2yAQvVfqf0DcE9upk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"/>
            </w:pict>
          </mc:Fallback>
        </mc:AlternateContent>
      </w:r>
      <w:r w:rsidRPr="00106ACC">
        <w:rPr>
          <w:rFonts w:ascii="Times New Roman" w:hAnsi="Times New Roman" w:cs="Times New Roman"/>
          <w:b/>
          <w:sz w:val="52"/>
          <w:szCs w:val="52"/>
        </w:rPr>
        <w:t xml:space="preserve">Von Arrhenius zu </w:t>
      </w:r>
      <w:r w:rsidR="00106ACC" w:rsidRPr="00106ACC">
        <w:rPr>
          <w:rFonts w:ascii="Times New Roman" w:hAnsi="Times New Roman" w:cs="Times New Roman"/>
          <w:b/>
          <w:bCs/>
          <w:color w:val="252525"/>
          <w:sz w:val="52"/>
          <w:szCs w:val="52"/>
          <w:shd w:val="clear" w:color="auto" w:fill="FFFFFF"/>
        </w:rPr>
        <w:t>Brønsted</w:t>
      </w:r>
    </w:p>
    <w:p w14:paraId="76EF8682" w14:textId="77777777" w:rsidR="00011533" w:rsidRDefault="00011533" w:rsidP="006F2A5C">
      <w:pPr>
        <w:pStyle w:val="Inhaltsverzeichnisberschrift"/>
      </w:pPr>
      <w:r>
        <w:rPr>
          <w:noProof/>
          <w:lang w:eastAsia="de-DE"/>
        </w:rPr>
        <w:lastRenderedPageBreak/>
        <mc:AlternateContent>
          <mc:Choice Requires="wps">
            <w:drawing>
              <wp:anchor distT="0" distB="0" distL="114300" distR="114300" simplePos="0" relativeHeight="251660288" behindDoc="0" locked="0" layoutInCell="1" allowOverlap="1" wp14:anchorId="3BCCE0C8" wp14:editId="3DD8357E">
                <wp:simplePos x="0" y="0"/>
                <wp:positionH relativeFrom="column">
                  <wp:align>center</wp:align>
                </wp:positionH>
                <wp:positionV relativeFrom="paragraph">
                  <wp:posOffset>0</wp:posOffset>
                </wp:positionV>
                <wp:extent cx="5958840" cy="2838450"/>
                <wp:effectExtent l="0" t="0" r="2286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384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02E09E" w14:textId="77777777" w:rsidR="00011533" w:rsidRDefault="00011533" w:rsidP="00011533">
                            <w:pPr>
                              <w:pBdr>
                                <w:bottom w:val="single" w:sz="6" w:space="1" w:color="auto"/>
                              </w:pBdr>
                              <w:rPr>
                                <w:b/>
                              </w:rPr>
                            </w:pPr>
                            <w:r w:rsidRPr="00A90BD6">
                              <w:rPr>
                                <w:b/>
                              </w:rPr>
                              <w:t>Auf einen Blick:</w:t>
                            </w:r>
                          </w:p>
                          <w:p w14:paraId="4C6FC332" w14:textId="77777777" w:rsidR="00011533" w:rsidRDefault="001A0523" w:rsidP="00011533">
                            <w:pPr>
                              <w:rPr>
                                <w:color w:val="auto"/>
                              </w:rPr>
                            </w:pPr>
                            <w:r>
                              <w:rPr>
                                <w:color w:val="auto"/>
                              </w:rPr>
                              <w:t xml:space="preserve">In diesem Protokoll zum Thema „Von Arrhenius zu </w:t>
                            </w:r>
                            <w:r w:rsidR="00106ACC">
                              <w:rPr>
                                <w:color w:val="auto"/>
                              </w:rPr>
                              <w:t>Brønsted</w:t>
                            </w:r>
                            <w:r>
                              <w:rPr>
                                <w:color w:val="auto"/>
                              </w:rPr>
                              <w:t>“</w:t>
                            </w:r>
                            <w:r w:rsidR="005E754B">
                              <w:rPr>
                                <w:color w:val="auto"/>
                              </w:rPr>
                              <w:t xml:space="preserve"> werden zwei V</w:t>
                            </w:r>
                            <w:r>
                              <w:rPr>
                                <w:color w:val="auto"/>
                              </w:rPr>
                              <w:t>ersuche beschreiben, die aufzeigen sollen, dass das Säure-Base-Konzept bereits im 17. Jahrhundert anhand von Alltagsbeobachtungen entstanden ist und im Laufe der Zeit von mehreren Wissenschaftlern</w:t>
                            </w:r>
                            <w:r w:rsidR="005E754B">
                              <w:rPr>
                                <w:color w:val="auto"/>
                              </w:rPr>
                              <w:t xml:space="preserve"> (z.B. Lavo</w:t>
                            </w:r>
                            <w:r w:rsidR="00D14E56">
                              <w:rPr>
                                <w:color w:val="auto"/>
                              </w:rPr>
                              <w:t>i</w:t>
                            </w:r>
                            <w:r w:rsidR="005E754B">
                              <w:rPr>
                                <w:color w:val="auto"/>
                              </w:rPr>
                              <w:t xml:space="preserve">sier, Liebig, Arrhenius, </w:t>
                            </w:r>
                            <w:r w:rsidR="00106ACC">
                              <w:rPr>
                                <w:color w:val="auto"/>
                              </w:rPr>
                              <w:t>Brønsted</w:t>
                            </w:r>
                            <w:r w:rsidR="005E754B">
                              <w:rPr>
                                <w:color w:val="auto"/>
                              </w:rPr>
                              <w:t>t etc)</w:t>
                            </w:r>
                            <w:r>
                              <w:rPr>
                                <w:color w:val="auto"/>
                              </w:rPr>
                              <w:t xml:space="preserve"> weiterentwickelt oder ergänzt wurde.</w:t>
                            </w:r>
                          </w:p>
                          <w:p w14:paraId="76A03F09" w14:textId="77777777" w:rsidR="001A0523" w:rsidRDefault="001A0523" w:rsidP="00011533">
                            <w:pPr>
                              <w:rPr>
                                <w:color w:val="auto"/>
                              </w:rPr>
                            </w:pPr>
                            <w:r>
                              <w:rPr>
                                <w:color w:val="auto"/>
                              </w:rPr>
                              <w:t>Das Leh</w:t>
                            </w:r>
                            <w:r w:rsidR="005E754B">
                              <w:rPr>
                                <w:color w:val="auto"/>
                              </w:rPr>
                              <w:t>rerdemonstrationsexperiment bestätigt die Säuredefinition, wie sie von Lauret de Lavoisier im 18 Jahrhundert beobachtet wurde. Dagegen kann das Schülerexperiment erst unter zu Hilfenahme des Säure-Base-Konzepts von Arrhenius gedeutet werden.</w:t>
                            </w:r>
                          </w:p>
                          <w:p w14:paraId="7C9F2F5B" w14:textId="77777777" w:rsidR="001A0523" w:rsidRPr="001A0523" w:rsidRDefault="001A0523" w:rsidP="00011533">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CE0C8" id="_x0000_t202" coordsize="21600,21600" o:spt="202" path="m,l,21600r21600,l21600,xe">
                <v:stroke joinstyle="miter"/>
                <v:path gradientshapeok="t" o:connecttype="rect"/>
              </v:shapetype>
              <v:shape id="Textfeld 6" o:spid="_x0000_s1026" type="#_x0000_t202" style="position:absolute;left:0;text-align:left;margin-left:0;margin-top:0;width:469.2pt;height:223.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" fillcolor="white [3201]" strokecolor="#9bbb59 [3206]" strokeweight="1pt">
                <v:stroke dashstyle="dash"/>
                <v:shadow color="#868686"/>
                <v:textbox>
                  <w:txbxContent>
                    <w:p w14:paraId="1F02E09E" w14:textId="77777777" w:rsidR="00011533" w:rsidRDefault="00011533" w:rsidP="00011533">
                      <w:pPr>
                        <w:pBdr>
                          <w:bottom w:val="single" w:sz="6" w:space="1" w:color="auto"/>
                        </w:pBdr>
                        <w:rPr>
                          <w:b/>
                        </w:rPr>
                      </w:pPr>
                      <w:r w:rsidRPr="00A90BD6">
                        <w:rPr>
                          <w:b/>
                        </w:rPr>
                        <w:t>Auf einen Blick:</w:t>
                      </w:r>
                    </w:p>
                    <w:p w14:paraId="4C6FC332" w14:textId="77777777" w:rsidR="00011533" w:rsidRDefault="001A0523" w:rsidP="00011533">
                      <w:pPr>
                        <w:rPr>
                          <w:color w:val="auto"/>
                        </w:rPr>
                      </w:pPr>
                      <w:r>
                        <w:rPr>
                          <w:color w:val="auto"/>
                        </w:rPr>
                        <w:t xml:space="preserve">In diesem Protokoll zum Thema „Von Arrhenius zu </w:t>
                      </w:r>
                      <w:r w:rsidR="00106ACC">
                        <w:rPr>
                          <w:color w:val="auto"/>
                        </w:rPr>
                        <w:t>Brønsted</w:t>
                      </w:r>
                      <w:r>
                        <w:rPr>
                          <w:color w:val="auto"/>
                        </w:rPr>
                        <w:t>“</w:t>
                      </w:r>
                      <w:r w:rsidR="005E754B">
                        <w:rPr>
                          <w:color w:val="auto"/>
                        </w:rPr>
                        <w:t xml:space="preserve"> werden zwei V</w:t>
                      </w:r>
                      <w:r>
                        <w:rPr>
                          <w:color w:val="auto"/>
                        </w:rPr>
                        <w:t>ersuche beschreiben, die aufzeigen sollen, dass das Säure-Base-Konzept bereits im 17. Jahrhundert anhand von Alltagsbeobachtungen entstanden ist und im Laufe der Zeit von mehreren Wissenschaftlern</w:t>
                      </w:r>
                      <w:r w:rsidR="005E754B">
                        <w:rPr>
                          <w:color w:val="auto"/>
                        </w:rPr>
                        <w:t xml:space="preserve"> (z.B. Lavo</w:t>
                      </w:r>
                      <w:r w:rsidR="00D14E56">
                        <w:rPr>
                          <w:color w:val="auto"/>
                        </w:rPr>
                        <w:t>i</w:t>
                      </w:r>
                      <w:r w:rsidR="005E754B">
                        <w:rPr>
                          <w:color w:val="auto"/>
                        </w:rPr>
                        <w:t xml:space="preserve">sier, Liebig, Arrhenius, </w:t>
                      </w:r>
                      <w:r w:rsidR="00106ACC">
                        <w:rPr>
                          <w:color w:val="auto"/>
                        </w:rPr>
                        <w:t>Brønsted</w:t>
                      </w:r>
                      <w:r w:rsidR="005E754B">
                        <w:rPr>
                          <w:color w:val="auto"/>
                        </w:rPr>
                        <w:t>t etc)</w:t>
                      </w:r>
                      <w:r>
                        <w:rPr>
                          <w:color w:val="auto"/>
                        </w:rPr>
                        <w:t xml:space="preserve"> weiterentwickelt oder ergänzt wurde.</w:t>
                      </w:r>
                    </w:p>
                    <w:p w14:paraId="76A03F09" w14:textId="77777777" w:rsidR="001A0523" w:rsidRDefault="001A0523" w:rsidP="00011533">
                      <w:pPr>
                        <w:rPr>
                          <w:color w:val="auto"/>
                        </w:rPr>
                      </w:pPr>
                      <w:r>
                        <w:rPr>
                          <w:color w:val="auto"/>
                        </w:rPr>
                        <w:t>Das Leh</w:t>
                      </w:r>
                      <w:r w:rsidR="005E754B">
                        <w:rPr>
                          <w:color w:val="auto"/>
                        </w:rPr>
                        <w:t>rerdemonstrationsexperiment bestätigt die Säuredefinition, wie sie von Lauret de Lavoisier im 18 Jahrhundert beobachtet wurde. Dagegen kann das Schülerexperiment erst unter zu Hilfenahme des Säure-Base-Konzepts von Arrhenius gedeutet werden.</w:t>
                      </w:r>
                    </w:p>
                    <w:p w14:paraId="7C9F2F5B" w14:textId="77777777" w:rsidR="001A0523" w:rsidRPr="001A0523" w:rsidRDefault="001A0523" w:rsidP="00011533">
                      <w:pPr>
                        <w:rPr>
                          <w:color w:val="auto"/>
                        </w:rPr>
                      </w:pPr>
                    </w:p>
                  </w:txbxContent>
                </v:textbox>
              </v:shape>
            </w:pict>
          </mc:Fallback>
        </mc:AlternateContent>
      </w:r>
    </w:p>
    <w:p w14:paraId="5E0813D9" w14:textId="77777777" w:rsidR="00011533" w:rsidRDefault="00011533" w:rsidP="00011533"/>
    <w:p w14:paraId="76EE57F3" w14:textId="77777777" w:rsidR="00011533" w:rsidRDefault="00011533" w:rsidP="00011533"/>
    <w:p w14:paraId="30B1099A" w14:textId="77777777" w:rsidR="00011533" w:rsidRDefault="00011533" w:rsidP="00011533"/>
    <w:p w14:paraId="12CA2A65" w14:textId="77777777" w:rsidR="00011533" w:rsidRDefault="00011533" w:rsidP="00011533"/>
    <w:p w14:paraId="70C9292C" w14:textId="77777777" w:rsidR="001A0523" w:rsidRDefault="001A0523" w:rsidP="00011533"/>
    <w:p w14:paraId="703D7DEF" w14:textId="77777777" w:rsidR="001A0523" w:rsidRDefault="001A0523" w:rsidP="00011533"/>
    <w:p w14:paraId="02152AE5" w14:textId="77777777" w:rsidR="001A0523" w:rsidRPr="00A90BD6" w:rsidRDefault="001A0523" w:rsidP="00011533"/>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011B4A6B" w14:textId="77777777" w:rsidR="00011533" w:rsidRPr="001A0523" w:rsidRDefault="00011533" w:rsidP="00011533">
          <w:pPr>
            <w:pStyle w:val="Inhaltsverzeichnisberschrift"/>
            <w:rPr>
              <w:rFonts w:ascii="Cambria" w:eastAsiaTheme="minorHAnsi" w:hAnsi="Cambria" w:cstheme="minorBidi"/>
              <w:b w:val="0"/>
              <w:bCs w:val="0"/>
              <w:color w:val="1D1B11" w:themeColor="background2" w:themeShade="1A"/>
              <w:sz w:val="22"/>
              <w:szCs w:val="22"/>
            </w:rPr>
          </w:pPr>
          <w:r w:rsidRPr="00E26180">
            <w:rPr>
              <w:color w:val="auto"/>
            </w:rPr>
            <w:t>Inhalt</w:t>
          </w:r>
        </w:p>
        <w:p w14:paraId="0F029955" w14:textId="77777777" w:rsidR="00011533" w:rsidRPr="00E26180" w:rsidRDefault="00011533" w:rsidP="00011533"/>
        <w:p w14:paraId="71C10DAA" w14:textId="77777777" w:rsidR="00957005" w:rsidRDefault="00011533">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996035" w:history="1">
            <w:r w:rsidR="00957005" w:rsidRPr="000627F4">
              <w:rPr>
                <w:rStyle w:val="Hyperlink"/>
                <w:noProof/>
              </w:rPr>
              <w:t>1</w:t>
            </w:r>
            <w:r w:rsidR="00957005">
              <w:rPr>
                <w:rFonts w:asciiTheme="minorHAnsi" w:eastAsiaTheme="minorEastAsia" w:hAnsiTheme="minorHAnsi"/>
                <w:noProof/>
                <w:color w:val="auto"/>
                <w:lang w:eastAsia="de-DE"/>
              </w:rPr>
              <w:tab/>
            </w:r>
            <w:r w:rsidR="00957005" w:rsidRPr="000627F4">
              <w:rPr>
                <w:rStyle w:val="Hyperlink"/>
                <w:noProof/>
              </w:rPr>
              <w:t>Beschreibung des Themas und zugehörige Lernziele</w:t>
            </w:r>
            <w:r w:rsidR="00957005">
              <w:rPr>
                <w:noProof/>
                <w:webHidden/>
              </w:rPr>
              <w:tab/>
            </w:r>
            <w:r w:rsidR="00957005">
              <w:rPr>
                <w:noProof/>
                <w:webHidden/>
              </w:rPr>
              <w:fldChar w:fldCharType="begin"/>
            </w:r>
            <w:r w:rsidR="00957005">
              <w:rPr>
                <w:noProof/>
                <w:webHidden/>
              </w:rPr>
              <w:instrText xml:space="preserve"> PAGEREF _Toc426996035 \h </w:instrText>
            </w:r>
            <w:r w:rsidR="00957005">
              <w:rPr>
                <w:noProof/>
                <w:webHidden/>
              </w:rPr>
            </w:r>
            <w:r w:rsidR="00957005">
              <w:rPr>
                <w:noProof/>
                <w:webHidden/>
              </w:rPr>
              <w:fldChar w:fldCharType="separate"/>
            </w:r>
            <w:r w:rsidR="009002F7">
              <w:rPr>
                <w:noProof/>
                <w:webHidden/>
              </w:rPr>
              <w:t>2</w:t>
            </w:r>
            <w:r w:rsidR="00957005">
              <w:rPr>
                <w:noProof/>
                <w:webHidden/>
              </w:rPr>
              <w:fldChar w:fldCharType="end"/>
            </w:r>
          </w:hyperlink>
        </w:p>
        <w:p w14:paraId="16361DE4" w14:textId="77777777" w:rsidR="00957005" w:rsidRDefault="00CE688A">
          <w:pPr>
            <w:pStyle w:val="Verzeichnis1"/>
            <w:tabs>
              <w:tab w:val="left" w:pos="440"/>
              <w:tab w:val="right" w:leader="dot" w:pos="9062"/>
            </w:tabs>
            <w:rPr>
              <w:rFonts w:asciiTheme="minorHAnsi" w:eastAsiaTheme="minorEastAsia" w:hAnsiTheme="minorHAnsi"/>
              <w:noProof/>
              <w:color w:val="auto"/>
              <w:lang w:eastAsia="de-DE"/>
            </w:rPr>
          </w:pPr>
          <w:hyperlink w:anchor="_Toc426996036" w:history="1">
            <w:r w:rsidR="00957005" w:rsidRPr="000627F4">
              <w:rPr>
                <w:rStyle w:val="Hyperlink"/>
                <w:noProof/>
              </w:rPr>
              <w:t>2</w:t>
            </w:r>
            <w:r w:rsidR="00957005">
              <w:rPr>
                <w:rFonts w:asciiTheme="minorHAnsi" w:eastAsiaTheme="minorEastAsia" w:hAnsiTheme="minorHAnsi"/>
                <w:noProof/>
                <w:color w:val="auto"/>
                <w:lang w:eastAsia="de-DE"/>
              </w:rPr>
              <w:tab/>
            </w:r>
            <w:r w:rsidR="00957005" w:rsidRPr="000627F4">
              <w:rPr>
                <w:rStyle w:val="Hyperlink"/>
                <w:noProof/>
              </w:rPr>
              <w:t>Relevanz des Themas für SuS der Klassenstufe 9/10 und didaktische Reduktion</w:t>
            </w:r>
            <w:r w:rsidR="00957005">
              <w:rPr>
                <w:noProof/>
                <w:webHidden/>
              </w:rPr>
              <w:tab/>
            </w:r>
            <w:r w:rsidR="00957005">
              <w:rPr>
                <w:noProof/>
                <w:webHidden/>
              </w:rPr>
              <w:fldChar w:fldCharType="begin"/>
            </w:r>
            <w:r w:rsidR="00957005">
              <w:rPr>
                <w:noProof/>
                <w:webHidden/>
              </w:rPr>
              <w:instrText xml:space="preserve"> PAGEREF _Toc426996036 \h </w:instrText>
            </w:r>
            <w:r w:rsidR="00957005">
              <w:rPr>
                <w:noProof/>
                <w:webHidden/>
              </w:rPr>
            </w:r>
            <w:r w:rsidR="00957005">
              <w:rPr>
                <w:noProof/>
                <w:webHidden/>
              </w:rPr>
              <w:fldChar w:fldCharType="separate"/>
            </w:r>
            <w:r w:rsidR="009002F7">
              <w:rPr>
                <w:noProof/>
                <w:webHidden/>
              </w:rPr>
              <w:t>3</w:t>
            </w:r>
            <w:r w:rsidR="00957005">
              <w:rPr>
                <w:noProof/>
                <w:webHidden/>
              </w:rPr>
              <w:fldChar w:fldCharType="end"/>
            </w:r>
          </w:hyperlink>
        </w:p>
        <w:p w14:paraId="35256582" w14:textId="77777777" w:rsidR="00957005" w:rsidRDefault="00CE688A" w:rsidP="00957005">
          <w:pPr>
            <w:pStyle w:val="Verzeichnis1"/>
            <w:tabs>
              <w:tab w:val="left" w:pos="440"/>
              <w:tab w:val="right" w:leader="dot" w:pos="9062"/>
            </w:tabs>
            <w:rPr>
              <w:rFonts w:asciiTheme="minorHAnsi" w:eastAsiaTheme="minorEastAsia" w:hAnsiTheme="minorHAnsi"/>
              <w:noProof/>
              <w:color w:val="auto"/>
              <w:lang w:eastAsia="de-DE"/>
            </w:rPr>
          </w:pPr>
          <w:hyperlink w:anchor="_Toc426996037" w:history="1">
            <w:r w:rsidR="00957005" w:rsidRPr="000627F4">
              <w:rPr>
                <w:rStyle w:val="Hyperlink"/>
                <w:noProof/>
              </w:rPr>
              <w:t>3</w:t>
            </w:r>
            <w:r w:rsidR="00957005">
              <w:rPr>
                <w:rFonts w:asciiTheme="minorHAnsi" w:eastAsiaTheme="minorEastAsia" w:hAnsiTheme="minorHAnsi"/>
                <w:noProof/>
                <w:color w:val="auto"/>
                <w:lang w:eastAsia="de-DE"/>
              </w:rPr>
              <w:tab/>
            </w:r>
            <w:r w:rsidR="00957005" w:rsidRPr="000627F4">
              <w:rPr>
                <w:rStyle w:val="Hyperlink"/>
                <w:noProof/>
              </w:rPr>
              <w:t>Lehrerversuch – Herstellung Schwefliger Säure</w:t>
            </w:r>
            <w:r w:rsidR="00957005">
              <w:rPr>
                <w:noProof/>
                <w:webHidden/>
              </w:rPr>
              <w:tab/>
            </w:r>
            <w:r w:rsidR="00957005">
              <w:rPr>
                <w:noProof/>
                <w:webHidden/>
              </w:rPr>
              <w:fldChar w:fldCharType="begin"/>
            </w:r>
            <w:r w:rsidR="00957005">
              <w:rPr>
                <w:noProof/>
                <w:webHidden/>
              </w:rPr>
              <w:instrText xml:space="preserve"> PAGEREF _Toc426996037 \h </w:instrText>
            </w:r>
            <w:r w:rsidR="00957005">
              <w:rPr>
                <w:noProof/>
                <w:webHidden/>
              </w:rPr>
            </w:r>
            <w:r w:rsidR="00957005">
              <w:rPr>
                <w:noProof/>
                <w:webHidden/>
              </w:rPr>
              <w:fldChar w:fldCharType="separate"/>
            </w:r>
            <w:r w:rsidR="009002F7">
              <w:rPr>
                <w:noProof/>
                <w:webHidden/>
              </w:rPr>
              <w:t>4</w:t>
            </w:r>
            <w:r w:rsidR="00957005">
              <w:rPr>
                <w:noProof/>
                <w:webHidden/>
              </w:rPr>
              <w:fldChar w:fldCharType="end"/>
            </w:r>
          </w:hyperlink>
        </w:p>
        <w:p w14:paraId="76B3F01C" w14:textId="77777777" w:rsidR="00957005" w:rsidRDefault="00CE688A">
          <w:pPr>
            <w:pStyle w:val="Verzeichnis1"/>
            <w:tabs>
              <w:tab w:val="left" w:pos="440"/>
              <w:tab w:val="right" w:leader="dot" w:pos="9062"/>
            </w:tabs>
            <w:rPr>
              <w:rFonts w:asciiTheme="minorHAnsi" w:eastAsiaTheme="minorEastAsia" w:hAnsiTheme="minorHAnsi"/>
              <w:noProof/>
              <w:color w:val="auto"/>
              <w:lang w:eastAsia="de-DE"/>
            </w:rPr>
          </w:pPr>
          <w:hyperlink w:anchor="_Toc426996039" w:history="1">
            <w:r w:rsidR="00957005" w:rsidRPr="000627F4">
              <w:rPr>
                <w:rStyle w:val="Hyperlink"/>
                <w:noProof/>
              </w:rPr>
              <w:t>4</w:t>
            </w:r>
            <w:r w:rsidR="00957005">
              <w:rPr>
                <w:rFonts w:asciiTheme="minorHAnsi" w:eastAsiaTheme="minorEastAsia" w:hAnsiTheme="minorHAnsi"/>
                <w:noProof/>
                <w:color w:val="auto"/>
                <w:lang w:eastAsia="de-DE"/>
              </w:rPr>
              <w:tab/>
            </w:r>
            <w:r w:rsidR="00957005" w:rsidRPr="000627F4">
              <w:rPr>
                <w:rStyle w:val="Hyperlink"/>
                <w:noProof/>
              </w:rPr>
              <w:t>Schülerversuch – Leitfähigkeit von sauren Lösungen</w:t>
            </w:r>
            <w:r w:rsidR="00957005">
              <w:rPr>
                <w:noProof/>
                <w:webHidden/>
              </w:rPr>
              <w:tab/>
            </w:r>
            <w:r w:rsidR="00957005">
              <w:rPr>
                <w:noProof/>
                <w:webHidden/>
              </w:rPr>
              <w:fldChar w:fldCharType="begin"/>
            </w:r>
            <w:r w:rsidR="00957005">
              <w:rPr>
                <w:noProof/>
                <w:webHidden/>
              </w:rPr>
              <w:instrText xml:space="preserve"> PAGEREF _Toc426996039 \h </w:instrText>
            </w:r>
            <w:r w:rsidR="00957005">
              <w:rPr>
                <w:noProof/>
                <w:webHidden/>
              </w:rPr>
            </w:r>
            <w:r w:rsidR="00957005">
              <w:rPr>
                <w:noProof/>
                <w:webHidden/>
              </w:rPr>
              <w:fldChar w:fldCharType="separate"/>
            </w:r>
            <w:r w:rsidR="009002F7">
              <w:rPr>
                <w:noProof/>
                <w:webHidden/>
              </w:rPr>
              <w:t>7</w:t>
            </w:r>
            <w:r w:rsidR="00957005">
              <w:rPr>
                <w:noProof/>
                <w:webHidden/>
              </w:rPr>
              <w:fldChar w:fldCharType="end"/>
            </w:r>
          </w:hyperlink>
        </w:p>
        <w:p w14:paraId="700F51BD" w14:textId="77777777" w:rsidR="00957005" w:rsidRDefault="00CE688A">
          <w:pPr>
            <w:pStyle w:val="Verzeichnis1"/>
            <w:tabs>
              <w:tab w:val="left" w:pos="440"/>
              <w:tab w:val="right" w:leader="dot" w:pos="9062"/>
            </w:tabs>
            <w:rPr>
              <w:rFonts w:asciiTheme="minorHAnsi" w:eastAsiaTheme="minorEastAsia" w:hAnsiTheme="minorHAnsi"/>
              <w:noProof/>
              <w:color w:val="auto"/>
              <w:lang w:eastAsia="de-DE"/>
            </w:rPr>
          </w:pPr>
          <w:hyperlink w:anchor="_Toc426996040" w:history="1">
            <w:r w:rsidR="00957005" w:rsidRPr="000627F4">
              <w:rPr>
                <w:rStyle w:val="Hyperlink"/>
                <w:noProof/>
              </w:rPr>
              <w:t>5</w:t>
            </w:r>
            <w:r w:rsidR="00957005">
              <w:rPr>
                <w:rFonts w:asciiTheme="minorHAnsi" w:eastAsiaTheme="minorEastAsia" w:hAnsiTheme="minorHAnsi"/>
                <w:noProof/>
                <w:color w:val="auto"/>
                <w:lang w:eastAsia="de-DE"/>
              </w:rPr>
              <w:tab/>
            </w:r>
            <w:r w:rsidR="00957005" w:rsidRPr="000627F4">
              <w:rPr>
                <w:rStyle w:val="Hyperlink"/>
                <w:noProof/>
              </w:rPr>
              <w:t>Didaktischer Kommentar zum Schülerarbeitsblatt</w:t>
            </w:r>
            <w:r w:rsidR="00957005">
              <w:rPr>
                <w:noProof/>
                <w:webHidden/>
              </w:rPr>
              <w:tab/>
            </w:r>
            <w:r w:rsidR="00957005">
              <w:rPr>
                <w:noProof/>
                <w:webHidden/>
              </w:rPr>
              <w:fldChar w:fldCharType="begin"/>
            </w:r>
            <w:r w:rsidR="00957005">
              <w:rPr>
                <w:noProof/>
                <w:webHidden/>
              </w:rPr>
              <w:instrText xml:space="preserve"> PAGEREF _Toc426996040 \h </w:instrText>
            </w:r>
            <w:r w:rsidR="00957005">
              <w:rPr>
                <w:noProof/>
                <w:webHidden/>
              </w:rPr>
            </w:r>
            <w:r w:rsidR="00957005">
              <w:rPr>
                <w:noProof/>
                <w:webHidden/>
              </w:rPr>
              <w:fldChar w:fldCharType="separate"/>
            </w:r>
            <w:r w:rsidR="009002F7">
              <w:rPr>
                <w:noProof/>
                <w:webHidden/>
              </w:rPr>
              <w:t>6</w:t>
            </w:r>
            <w:r w:rsidR="00957005">
              <w:rPr>
                <w:noProof/>
                <w:webHidden/>
              </w:rPr>
              <w:fldChar w:fldCharType="end"/>
            </w:r>
          </w:hyperlink>
        </w:p>
        <w:p w14:paraId="16BFAB56" w14:textId="77777777" w:rsidR="00957005" w:rsidRDefault="00CE688A">
          <w:pPr>
            <w:pStyle w:val="Verzeichnis2"/>
            <w:tabs>
              <w:tab w:val="left" w:pos="880"/>
              <w:tab w:val="right" w:leader="dot" w:pos="9062"/>
            </w:tabs>
            <w:rPr>
              <w:rFonts w:asciiTheme="minorHAnsi" w:eastAsiaTheme="minorEastAsia" w:hAnsiTheme="minorHAnsi"/>
              <w:noProof/>
              <w:color w:val="auto"/>
              <w:lang w:eastAsia="de-DE"/>
            </w:rPr>
          </w:pPr>
          <w:hyperlink w:anchor="_Toc426996041" w:history="1">
            <w:r w:rsidR="00957005" w:rsidRPr="000627F4">
              <w:rPr>
                <w:rStyle w:val="Hyperlink"/>
                <w:noProof/>
              </w:rPr>
              <w:t>5.1</w:t>
            </w:r>
            <w:r w:rsidR="00957005">
              <w:rPr>
                <w:rFonts w:asciiTheme="minorHAnsi" w:eastAsiaTheme="minorEastAsia" w:hAnsiTheme="minorHAnsi"/>
                <w:noProof/>
                <w:color w:val="auto"/>
                <w:lang w:eastAsia="de-DE"/>
              </w:rPr>
              <w:tab/>
            </w:r>
            <w:r w:rsidR="00957005" w:rsidRPr="000627F4">
              <w:rPr>
                <w:rStyle w:val="Hyperlink"/>
                <w:noProof/>
              </w:rPr>
              <w:t>Erwartungshorizont (Kerncurriculum)</w:t>
            </w:r>
            <w:r w:rsidR="00957005">
              <w:rPr>
                <w:noProof/>
                <w:webHidden/>
              </w:rPr>
              <w:tab/>
            </w:r>
            <w:r w:rsidR="00957005">
              <w:rPr>
                <w:noProof/>
                <w:webHidden/>
              </w:rPr>
              <w:fldChar w:fldCharType="begin"/>
            </w:r>
            <w:r w:rsidR="00957005">
              <w:rPr>
                <w:noProof/>
                <w:webHidden/>
              </w:rPr>
              <w:instrText xml:space="preserve"> PAGEREF _Toc426996041 \h </w:instrText>
            </w:r>
            <w:r w:rsidR="00957005">
              <w:rPr>
                <w:noProof/>
                <w:webHidden/>
              </w:rPr>
            </w:r>
            <w:r w:rsidR="00957005">
              <w:rPr>
                <w:noProof/>
                <w:webHidden/>
              </w:rPr>
              <w:fldChar w:fldCharType="separate"/>
            </w:r>
            <w:r w:rsidR="009002F7">
              <w:rPr>
                <w:noProof/>
                <w:webHidden/>
              </w:rPr>
              <w:t>6</w:t>
            </w:r>
            <w:r w:rsidR="00957005">
              <w:rPr>
                <w:noProof/>
                <w:webHidden/>
              </w:rPr>
              <w:fldChar w:fldCharType="end"/>
            </w:r>
          </w:hyperlink>
        </w:p>
        <w:p w14:paraId="521CB677" w14:textId="77777777" w:rsidR="00957005" w:rsidRDefault="00CE688A">
          <w:pPr>
            <w:pStyle w:val="Verzeichnis2"/>
            <w:tabs>
              <w:tab w:val="left" w:pos="880"/>
              <w:tab w:val="right" w:leader="dot" w:pos="9062"/>
            </w:tabs>
            <w:rPr>
              <w:rFonts w:asciiTheme="minorHAnsi" w:eastAsiaTheme="minorEastAsia" w:hAnsiTheme="minorHAnsi"/>
              <w:noProof/>
              <w:color w:val="auto"/>
              <w:lang w:eastAsia="de-DE"/>
            </w:rPr>
          </w:pPr>
          <w:hyperlink w:anchor="_Toc426996045" w:history="1">
            <w:r w:rsidR="00957005" w:rsidRPr="000627F4">
              <w:rPr>
                <w:rStyle w:val="Hyperlink"/>
                <w:noProof/>
              </w:rPr>
              <w:t>5.2</w:t>
            </w:r>
            <w:r w:rsidR="00957005">
              <w:rPr>
                <w:rFonts w:asciiTheme="minorHAnsi" w:eastAsiaTheme="minorEastAsia" w:hAnsiTheme="minorHAnsi"/>
                <w:noProof/>
                <w:color w:val="auto"/>
                <w:lang w:eastAsia="de-DE"/>
              </w:rPr>
              <w:tab/>
            </w:r>
            <w:r w:rsidR="00957005" w:rsidRPr="000627F4">
              <w:rPr>
                <w:rStyle w:val="Hyperlink"/>
                <w:noProof/>
              </w:rPr>
              <w:t>Erwartungshorizont (Inhaltlich)</w:t>
            </w:r>
            <w:r w:rsidR="00957005">
              <w:rPr>
                <w:noProof/>
                <w:webHidden/>
              </w:rPr>
              <w:tab/>
            </w:r>
            <w:r w:rsidR="00957005">
              <w:rPr>
                <w:noProof/>
                <w:webHidden/>
              </w:rPr>
              <w:fldChar w:fldCharType="begin"/>
            </w:r>
            <w:r w:rsidR="00957005">
              <w:rPr>
                <w:noProof/>
                <w:webHidden/>
              </w:rPr>
              <w:instrText xml:space="preserve"> PAGEREF _Toc426996045 \h </w:instrText>
            </w:r>
            <w:r w:rsidR="00957005">
              <w:rPr>
                <w:noProof/>
                <w:webHidden/>
              </w:rPr>
            </w:r>
            <w:r w:rsidR="00957005">
              <w:rPr>
                <w:noProof/>
                <w:webHidden/>
              </w:rPr>
              <w:fldChar w:fldCharType="separate"/>
            </w:r>
            <w:r w:rsidR="009002F7">
              <w:rPr>
                <w:noProof/>
                <w:webHidden/>
              </w:rPr>
              <w:t>7</w:t>
            </w:r>
            <w:r w:rsidR="00957005">
              <w:rPr>
                <w:noProof/>
                <w:webHidden/>
              </w:rPr>
              <w:fldChar w:fldCharType="end"/>
            </w:r>
          </w:hyperlink>
        </w:p>
        <w:p w14:paraId="3290E439" w14:textId="77777777" w:rsidR="00011533" w:rsidRDefault="00011533" w:rsidP="00011533">
          <w:r>
            <w:fldChar w:fldCharType="end"/>
          </w:r>
        </w:p>
      </w:sdtContent>
    </w:sdt>
    <w:p w14:paraId="7B90353F" w14:textId="77777777" w:rsidR="00011533" w:rsidRDefault="00011533" w:rsidP="00011533"/>
    <w:p w14:paraId="6657AA38" w14:textId="77777777" w:rsidR="00011533" w:rsidRDefault="00011533" w:rsidP="00011533"/>
    <w:p w14:paraId="4C2A1BC2" w14:textId="77777777" w:rsidR="00011533" w:rsidRDefault="00011533" w:rsidP="00011533">
      <w:r>
        <w:br w:type="page"/>
      </w:r>
    </w:p>
    <w:p w14:paraId="0677AD28" w14:textId="77777777" w:rsidR="00011533" w:rsidRDefault="00011533" w:rsidP="00011533">
      <w:pPr>
        <w:pStyle w:val="berschrift1"/>
        <w:numPr>
          <w:ilvl w:val="0"/>
          <w:numId w:val="1"/>
        </w:numPr>
        <w:spacing w:before="360" w:after="240"/>
        <w:rPr>
          <w:color w:val="auto"/>
        </w:rPr>
      </w:pPr>
      <w:bookmarkStart w:id="0" w:name="_Toc426996035"/>
      <w:r w:rsidRPr="00E54798">
        <w:rPr>
          <w:color w:val="auto"/>
        </w:rPr>
        <w:lastRenderedPageBreak/>
        <w:t>Beschreibung des Themas und zugehörige Lernziele</w:t>
      </w:r>
      <w:bookmarkEnd w:id="0"/>
      <w:r w:rsidRPr="00E54798">
        <w:rPr>
          <w:color w:val="auto"/>
        </w:rPr>
        <w:t xml:space="preserve"> </w:t>
      </w:r>
    </w:p>
    <w:p w14:paraId="383A9C8A" w14:textId="77777777" w:rsidR="005E754B" w:rsidRDefault="00BA2DB1" w:rsidP="005E754B">
      <w:r>
        <w:t>Vor allem das Konzept der Säuren und Basen bietet im Unterricht die Möglichkeit den Schülerinnen und Schülern (im Folgenden: SuS) das Zustandekommen von chemi</w:t>
      </w:r>
      <w:r w:rsidR="00910B2C">
        <w:t>schen Konzepten und deren Weiterentwicklung</w:t>
      </w:r>
      <w:r>
        <w:t xml:space="preserve"> nahezubringen. Jeder </w:t>
      </w:r>
      <w:r w:rsidR="00075F1D">
        <w:t>Mensch</w:t>
      </w:r>
      <w:r>
        <w:t xml:space="preserve"> verwendet den Begriff der Säure und kennt deren Wirkung auf Lebensmittel (z. B. auf Tee oder Milch) im Alltag durch Beobachtungen. Robert Boyle führte im 17. Jahrhundert als Erster eine allgemeingültige Definition für Säuren ein. Diese besagte, dass Säuren Pflanzenfarbstoffe verändern. Gleichzeitig wurde ebenfalls erkannt, dass saure Lösungen alkalische Lösungen neutralisieren können. </w:t>
      </w:r>
      <w:r w:rsidR="001079E1">
        <w:t>Ziel ist, dass SuS gesellschaftlich relevante Aussagen aus unterschiedlichen Perspektiven bewerten und kritisch die Aussagekraft von Modellen/Konzepten diskutieren.</w:t>
      </w:r>
    </w:p>
    <w:p w14:paraId="3B943F23" w14:textId="77777777" w:rsidR="001079E1" w:rsidRDefault="001079E1" w:rsidP="005E754B">
      <w:pPr>
        <w:rPr>
          <w:rStyle w:val="apple-converted-space"/>
          <w:rFonts w:cs="Arial"/>
          <w:color w:val="252525"/>
          <w:shd w:val="clear" w:color="auto" w:fill="FFFFFF"/>
        </w:rPr>
      </w:pPr>
      <w:r>
        <w:t xml:space="preserve">Der Begründer der wissenschaftlichen Chemie, </w:t>
      </w:r>
      <w:r w:rsidRPr="001079E1">
        <w:rPr>
          <w:rFonts w:cs="Arial"/>
          <w:bCs/>
          <w:color w:val="252525"/>
          <w:shd w:val="clear" w:color="auto" w:fill="FFFFFF"/>
        </w:rPr>
        <w:t>Antoine Laurent de Lavoisier</w:t>
      </w:r>
      <w:r>
        <w:rPr>
          <w:rStyle w:val="apple-converted-space"/>
          <w:rFonts w:cs="Arial"/>
          <w:color w:val="252525"/>
          <w:shd w:val="clear" w:color="auto" w:fill="FFFFFF"/>
        </w:rPr>
        <w:t xml:space="preserve">, beobachtete im 18. Jahrhundert, dass Nichtmetalloxide mit Wasser unter Bildung einer Säure reagieren. Daraus folgerte er, dass alle Säuren das Element Sauerstoff enthalten (daher auch die Namensgebung von Sauerstoff). Ziel ist, dass SuS sicher mit der chemischen Symbolik umgehen und Reaktionsgleichungen aufstellen. Allerdings kann mithilfe des Säure-Konzeptes nach </w:t>
      </w:r>
      <w:r w:rsidR="003B64EF" w:rsidRPr="00BA5BDE">
        <w:rPr>
          <w:color w:val="auto"/>
        </w:rPr>
        <w:t>Lavo</w:t>
      </w:r>
      <w:r w:rsidR="003B64EF">
        <w:rPr>
          <w:color w:val="auto"/>
        </w:rPr>
        <w:t>i</w:t>
      </w:r>
      <w:r w:rsidR="003B64EF" w:rsidRPr="00BA5BDE">
        <w:rPr>
          <w:color w:val="auto"/>
        </w:rPr>
        <w:t>sier</w:t>
      </w:r>
      <w:r w:rsidR="003B64EF">
        <w:rPr>
          <w:rStyle w:val="apple-converted-space"/>
          <w:rFonts w:cs="Arial"/>
          <w:color w:val="252525"/>
          <w:shd w:val="clear" w:color="auto" w:fill="FFFFFF"/>
        </w:rPr>
        <w:t xml:space="preserve"> </w:t>
      </w:r>
      <w:r>
        <w:rPr>
          <w:rStyle w:val="apple-converted-space"/>
          <w:rFonts w:cs="Arial"/>
          <w:color w:val="252525"/>
          <w:shd w:val="clear" w:color="auto" w:fill="FFFFFF"/>
        </w:rPr>
        <w:t xml:space="preserve">nicht erklärt werden, weshalb Halogenwasserstoffe mit Wasser unter Bildung einer sehr starken Säure reagieren. </w:t>
      </w:r>
      <w:r w:rsidR="00456E53">
        <w:rPr>
          <w:rStyle w:val="apple-converted-space"/>
          <w:rFonts w:cs="Arial"/>
          <w:color w:val="252525"/>
          <w:shd w:val="clear" w:color="auto" w:fill="FFFFFF"/>
        </w:rPr>
        <w:t>S</w:t>
      </w:r>
      <w:r>
        <w:rPr>
          <w:rStyle w:val="apple-converted-space"/>
          <w:rFonts w:cs="Arial"/>
          <w:color w:val="252525"/>
          <w:shd w:val="clear" w:color="auto" w:fill="FFFFFF"/>
        </w:rPr>
        <w:t>v</w:t>
      </w:r>
      <w:r w:rsidR="00456E53">
        <w:rPr>
          <w:rStyle w:val="apple-converted-space"/>
          <w:rFonts w:cs="Arial"/>
          <w:color w:val="252525"/>
          <w:shd w:val="clear" w:color="auto" w:fill="FFFFFF"/>
        </w:rPr>
        <w:t>a</w:t>
      </w:r>
      <w:r>
        <w:rPr>
          <w:rStyle w:val="apple-converted-space"/>
          <w:rFonts w:cs="Arial"/>
          <w:color w:val="252525"/>
          <w:shd w:val="clear" w:color="auto" w:fill="FFFFFF"/>
        </w:rPr>
        <w:t xml:space="preserve">nte Arrhenius berücksichtigte die damals neue Erkenntnis über die Existenz von Ionen in wässriger Lösung und definierte Säuren </w:t>
      </w:r>
      <w:r w:rsidR="00456E53">
        <w:rPr>
          <w:rStyle w:val="apple-converted-space"/>
          <w:rFonts w:cs="Arial"/>
          <w:color w:val="252525"/>
          <w:shd w:val="clear" w:color="auto" w:fill="FFFFFF"/>
        </w:rPr>
        <w:t>als Stoffe, die in Wasser Wasserstoff-Ionen (H</w:t>
      </w:r>
      <w:r w:rsidR="00456E53">
        <w:rPr>
          <w:rStyle w:val="apple-converted-space"/>
          <w:rFonts w:cs="Arial"/>
          <w:color w:val="252525"/>
          <w:shd w:val="clear" w:color="auto" w:fill="FFFFFF"/>
          <w:vertAlign w:val="superscript"/>
        </w:rPr>
        <w:t>+</w:t>
      </w:r>
      <w:r w:rsidR="00456E53">
        <w:rPr>
          <w:rStyle w:val="apple-converted-space"/>
          <w:rFonts w:cs="Arial"/>
          <w:color w:val="252525"/>
          <w:shd w:val="clear" w:color="auto" w:fill="FFFFFF"/>
        </w:rPr>
        <w:t>) bilden und Basen als Stoffe, die in Wasser Hydroxid-Ionen (OH</w:t>
      </w:r>
      <w:r w:rsidR="00456E53">
        <w:rPr>
          <w:rStyle w:val="apple-converted-space"/>
          <w:rFonts w:cs="Arial"/>
          <w:color w:val="252525"/>
          <w:shd w:val="clear" w:color="auto" w:fill="FFFFFF"/>
          <w:vertAlign w:val="superscript"/>
        </w:rPr>
        <w:t>-</w:t>
      </w:r>
      <w:r w:rsidR="00456E53">
        <w:rPr>
          <w:rStyle w:val="apple-converted-space"/>
          <w:rFonts w:cs="Arial"/>
          <w:color w:val="252525"/>
          <w:shd w:val="clear" w:color="auto" w:fill="FFFFFF"/>
        </w:rPr>
        <w:t>) bilden. Mithilfe von diesem Konzept können viele Säure-Base-Reaktionen in wässriger Lösung gedeutet und erklärt werden. SuS sollen an dieser Stelle zwischen Atomen und Ionen mit Hilfe differenzierter Atommodelle unterscheiden und diese beschreiben.</w:t>
      </w:r>
      <w:r w:rsidR="00D266BD">
        <w:rPr>
          <w:rStyle w:val="apple-converted-space"/>
          <w:rFonts w:cs="Arial"/>
          <w:color w:val="252525"/>
          <w:shd w:val="clear" w:color="auto" w:fill="FFFFFF"/>
        </w:rPr>
        <w:t xml:space="preserve"> Des Weiteren erkennen SuS die Bedeutung der Ionen-Theorie für die Erklärung von Leitfähigkeit und Dissoziation.</w:t>
      </w:r>
    </w:p>
    <w:p w14:paraId="4146F5DC" w14:textId="77777777" w:rsidR="00D266BD" w:rsidRDefault="00D266BD" w:rsidP="005E754B">
      <w:pPr>
        <w:rPr>
          <w:rStyle w:val="apple-converted-space"/>
          <w:rFonts w:cs="Arial"/>
          <w:color w:val="252525"/>
          <w:shd w:val="clear" w:color="auto" w:fill="FFFFFF"/>
        </w:rPr>
      </w:pPr>
      <w:r>
        <w:rPr>
          <w:rStyle w:val="apple-converted-space"/>
          <w:rFonts w:cs="Arial"/>
          <w:color w:val="252525"/>
          <w:shd w:val="clear" w:color="auto" w:fill="FFFFFF"/>
        </w:rPr>
        <w:t>Allerdings musste diese Definition  erweiterte werden, da sie den Nachteil hat, dass das Säure-Base-Konzept von Arrhenius nur auf wässrige Lösungen beschränkt ist. Außerdem war bekannt, dass Ammoniak eine starke Base ist, obwohl es</w:t>
      </w:r>
      <w:r w:rsidR="001171B0">
        <w:rPr>
          <w:rStyle w:val="apple-converted-space"/>
          <w:rFonts w:cs="Arial"/>
          <w:color w:val="252525"/>
          <w:shd w:val="clear" w:color="auto" w:fill="FFFFFF"/>
        </w:rPr>
        <w:t xml:space="preserve"> kein Hydroxid-Ion enthält</w:t>
      </w:r>
      <w:r>
        <w:rPr>
          <w:rStyle w:val="apple-converted-space"/>
          <w:rFonts w:cs="Arial"/>
          <w:color w:val="252525"/>
          <w:shd w:val="clear" w:color="auto" w:fill="FFFFFF"/>
        </w:rPr>
        <w:t xml:space="preserve"> und dass freie Wasserstoff-Ionen in  wässriger Lösung nicht existieren können.</w:t>
      </w:r>
    </w:p>
    <w:p w14:paraId="5A52D216" w14:textId="77777777" w:rsidR="00A97210" w:rsidRDefault="00D266BD" w:rsidP="005E754B">
      <w:pPr>
        <w:rPr>
          <w:rStyle w:val="apple-converted-space"/>
          <w:rFonts w:cs="Arial"/>
          <w:color w:val="252525"/>
          <w:shd w:val="clear" w:color="auto" w:fill="FFFFFF"/>
        </w:rPr>
      </w:pPr>
      <w:r>
        <w:rPr>
          <w:rStyle w:val="apple-converted-space"/>
          <w:rFonts w:cs="Arial"/>
          <w:color w:val="252525"/>
          <w:shd w:val="clear" w:color="auto" w:fill="FFFFFF"/>
        </w:rPr>
        <w:t xml:space="preserve">Eine allgemeine und gebräuchliche Definition für Säuren und Basen wurden von Johannes N. </w:t>
      </w:r>
      <w:r w:rsidR="00106ACC">
        <w:rPr>
          <w:rStyle w:val="apple-converted-space"/>
          <w:rFonts w:cs="Arial"/>
          <w:color w:val="252525"/>
          <w:shd w:val="clear" w:color="auto" w:fill="FFFFFF"/>
        </w:rPr>
        <w:t>Brønsted</w:t>
      </w:r>
      <w:r>
        <w:rPr>
          <w:rStyle w:val="apple-converted-space"/>
          <w:rFonts w:cs="Arial"/>
          <w:color w:val="252525"/>
          <w:shd w:val="clear" w:color="auto" w:fill="FFFFFF"/>
        </w:rPr>
        <w:t xml:space="preserve"> und Thomas M. Lowry unabhängig voneinander eingeführt. </w:t>
      </w:r>
      <w:r w:rsidR="00A97210">
        <w:rPr>
          <w:rStyle w:val="apple-converted-space"/>
          <w:rFonts w:cs="Arial"/>
          <w:color w:val="252525"/>
          <w:shd w:val="clear" w:color="auto" w:fill="FFFFFF"/>
        </w:rPr>
        <w:t>Hiernach sind Säuren Protonendonatoren und Basen Protonenakzeptoren. Diese Definition ist nicht mehr auf wässrige Lösungen beschränkt und kann auch erklären, weshalb Ammoniak eine Base ist. Dennoch ist auch d</w:t>
      </w:r>
      <w:r w:rsidR="007B3EA2">
        <w:rPr>
          <w:rStyle w:val="apple-converted-space"/>
          <w:rFonts w:cs="Arial"/>
          <w:color w:val="252525"/>
          <w:shd w:val="clear" w:color="auto" w:fill="FFFFFF"/>
        </w:rPr>
        <w:t>ieses Konzept nicht vollkommen, da es auf die Übertragung von Protonen beschränkt ist, sodass bei</w:t>
      </w:r>
      <w:r w:rsidR="00382122">
        <w:rPr>
          <w:rStyle w:val="apple-converted-space"/>
          <w:rFonts w:cs="Arial"/>
          <w:color w:val="252525"/>
          <w:shd w:val="clear" w:color="auto" w:fill="FFFFFF"/>
        </w:rPr>
        <w:t>spielsweise nicht erklärt werden konnte, weshalb das Lösen von festem</w:t>
      </w:r>
      <w:r w:rsidR="007B3EA2">
        <w:rPr>
          <w:rStyle w:val="apple-converted-space"/>
          <w:rFonts w:cs="Arial"/>
          <w:color w:val="252525"/>
          <w:shd w:val="clear" w:color="auto" w:fill="FFFFFF"/>
        </w:rPr>
        <w:t xml:space="preserve"> Aluminiumtrichlorid in Wasser </w:t>
      </w:r>
      <w:r w:rsidR="00382122">
        <w:rPr>
          <w:rStyle w:val="apple-converted-space"/>
          <w:rFonts w:cs="Arial"/>
          <w:color w:val="252525"/>
          <w:shd w:val="clear" w:color="auto" w:fill="FFFFFF"/>
        </w:rPr>
        <w:t>eine saure Lösung ergibt, da es sich hierbei nicht um eine Protonenübertragungsreaktion handelt.</w:t>
      </w:r>
    </w:p>
    <w:p w14:paraId="365275AD" w14:textId="77777777" w:rsidR="00D266BD" w:rsidRDefault="00A97210" w:rsidP="005E754B">
      <w:pPr>
        <w:rPr>
          <w:rStyle w:val="apple-converted-space"/>
          <w:rFonts w:cs="Arial"/>
          <w:color w:val="252525"/>
          <w:shd w:val="clear" w:color="auto" w:fill="FFFFFF"/>
        </w:rPr>
      </w:pPr>
      <w:r>
        <w:rPr>
          <w:rStyle w:val="apple-converted-space"/>
          <w:rFonts w:cs="Arial"/>
          <w:color w:val="252525"/>
          <w:shd w:val="clear" w:color="auto" w:fill="FFFFFF"/>
        </w:rPr>
        <w:lastRenderedPageBreak/>
        <w:t>Gilbert N. Lewis entwickelte ein weiteres Säure-Base-Konzept, welches den Säurebegriff auf alle Stoffe erweiterte, die ein freies Elektronenpaar aufnehmen (Elektronenpaarakzeptor) und Basen ein freies Elektronenpaar zur Verfügung stellen (Elektronenpaardonator). Somit können auch Säuren erklärt werden, die kein Proton enthalten (Aluminiumtrichlorid).</w:t>
      </w:r>
      <w:r w:rsidR="00910B2C">
        <w:rPr>
          <w:rStyle w:val="apple-converted-space"/>
          <w:rFonts w:cs="Arial"/>
          <w:color w:val="252525"/>
          <w:shd w:val="clear" w:color="auto" w:fill="FFFFFF"/>
        </w:rPr>
        <w:t xml:space="preserve"> Ziel ist, dass SuS</w:t>
      </w:r>
      <w:r>
        <w:rPr>
          <w:rStyle w:val="apple-converted-space"/>
          <w:rFonts w:cs="Arial"/>
          <w:color w:val="252525"/>
          <w:shd w:val="clear" w:color="auto" w:fill="FFFFFF"/>
        </w:rPr>
        <w:t xml:space="preserve"> sensibilisiert werden und zwischen Ionenbindung, Atombindung und Elektronenpaarbindung unterscheiden.</w:t>
      </w:r>
    </w:p>
    <w:p w14:paraId="147945F7" w14:textId="77777777" w:rsidR="00BA2DB1" w:rsidRDefault="00BA2DB1">
      <w:pPr>
        <w:spacing w:line="276" w:lineRule="auto"/>
        <w:jc w:val="left"/>
        <w:rPr>
          <w:rFonts w:asciiTheme="majorHAnsi" w:eastAsiaTheme="majorEastAsia" w:hAnsiTheme="majorHAnsi" w:cstheme="majorBidi"/>
          <w:b/>
          <w:bCs/>
          <w:color w:val="365F91" w:themeColor="accent1" w:themeShade="BF"/>
          <w:sz w:val="28"/>
          <w:szCs w:val="28"/>
        </w:rPr>
      </w:pPr>
    </w:p>
    <w:p w14:paraId="0B7DDF96" w14:textId="77777777" w:rsidR="00011533" w:rsidRDefault="00011533" w:rsidP="00011533">
      <w:pPr>
        <w:pStyle w:val="berschrift1"/>
        <w:numPr>
          <w:ilvl w:val="0"/>
          <w:numId w:val="1"/>
        </w:numPr>
        <w:spacing w:before="360" w:after="240"/>
      </w:pPr>
      <w:bookmarkStart w:id="1" w:name="_Toc426996036"/>
      <w:r>
        <w:t xml:space="preserve">Relevanz des Themas für SuS der </w:t>
      </w:r>
      <w:r w:rsidR="00BF023E">
        <w:t>Klassenstufe 9/10</w:t>
      </w:r>
      <w:r>
        <w:t xml:space="preserve"> und didaktische Reduktion</w:t>
      </w:r>
      <w:bookmarkEnd w:id="1"/>
    </w:p>
    <w:p w14:paraId="76F74293" w14:textId="77777777" w:rsidR="001A4E59" w:rsidRDefault="001A4E59" w:rsidP="00ED449A">
      <w:r>
        <w:t>Die historische Entwicklung des Säure-Base-Konzeptes zeigt den SuS auf, dass jedes Konzept, Theorie oder Modell seine Grenzen hat und durch Weiterentwicklungen verfeinert werden muss. Des Weiteren ist an dieser Stelle wichtig, dass SuS erkennen, dass Modelle nicht ein Abbild der Wirklichkeit sind, sondern nur Erklärungshilfe</w:t>
      </w:r>
      <w:r w:rsidR="001171B0">
        <w:t>n</w:t>
      </w:r>
      <w:r>
        <w:t xml:space="preserve"> sind, um Phänomene/</w:t>
      </w:r>
      <w:r w:rsidR="001171B0">
        <w:t xml:space="preserve"> Reaktionen erklären zu können.</w:t>
      </w:r>
      <w:r>
        <w:t xml:space="preserve"> Dies schult das naturwissenschaftliche Arbeiten und spiegelt die Naturwissenschaft Chemie als sowohl experimentelle als auch theoretische Naturwissenschaft wieder.</w:t>
      </w:r>
      <w:r w:rsidR="00C62266">
        <w:t xml:space="preserve"> </w:t>
      </w:r>
      <w:r>
        <w:t xml:space="preserve">Die Begriffe Säure, Base, Lauge, saure Lösung oder alkalische Lösung begegnen den SuS im Alltag sehr häufig, wichtig ist hierbei, dass diese Begriffe sachgerecht und fachsprachlich korrekt verwendet werden. </w:t>
      </w:r>
    </w:p>
    <w:p w14:paraId="06C1ED61" w14:textId="77777777" w:rsidR="00C62266" w:rsidRDefault="00C62266" w:rsidP="00ED449A">
      <w:r>
        <w:t>Da bis zu diesem Doppeljahrgang noch nicht das Säure-Base-Konzept von Lewis behandelt wird, kann dieses nur als Ausblick dargelegt werden, um den SuS aufzuzeigen, dass auch das Brønsted-Konzept nicht alle Reaktionen in ihrer Vollständigkeit beschreibt.</w:t>
      </w:r>
    </w:p>
    <w:p w14:paraId="58BC4BF9" w14:textId="77777777" w:rsidR="007863D6" w:rsidRDefault="007863D6">
      <w:pPr>
        <w:spacing w:line="276" w:lineRule="auto"/>
        <w:jc w:val="left"/>
        <w:rPr>
          <w:rFonts w:asciiTheme="majorHAnsi" w:eastAsiaTheme="majorEastAsia" w:hAnsiTheme="majorHAnsi" w:cstheme="majorBidi"/>
          <w:b/>
          <w:bCs/>
          <w:color w:val="365F91" w:themeColor="accent1" w:themeShade="BF"/>
          <w:sz w:val="28"/>
          <w:szCs w:val="28"/>
        </w:rPr>
      </w:pPr>
      <w:r>
        <w:br w:type="page"/>
      </w:r>
    </w:p>
    <w:p w14:paraId="4ABB6FF7" w14:textId="77777777" w:rsidR="00011533" w:rsidRDefault="00011533" w:rsidP="00011533">
      <w:pPr>
        <w:pStyle w:val="berschrift1"/>
        <w:numPr>
          <w:ilvl w:val="0"/>
          <w:numId w:val="1"/>
        </w:numPr>
        <w:spacing w:before="360" w:after="240"/>
      </w:pPr>
      <w:bookmarkStart w:id="2" w:name="_Toc426996037"/>
      <w:r>
        <w:lastRenderedPageBreak/>
        <w:t>Lehrer</w:t>
      </w:r>
      <w:r w:rsidR="00BF023E">
        <w:t xml:space="preserve">versuch – </w:t>
      </w:r>
      <w:r w:rsidR="00655973">
        <w:t>Herstellung</w:t>
      </w:r>
      <w:r w:rsidR="00BF023E">
        <w:t xml:space="preserve"> Schwefliger Säure</w:t>
      </w:r>
      <w:bookmarkEnd w:id="2"/>
    </w:p>
    <w:bookmarkStart w:id="3" w:name="_Toc425776595"/>
    <w:bookmarkStart w:id="4" w:name="_Toc426884194"/>
    <w:bookmarkStart w:id="5" w:name="_Toc426996038"/>
    <w:p w14:paraId="13C32EC6" w14:textId="77777777" w:rsidR="00011533" w:rsidRDefault="00011533" w:rsidP="00011533">
      <w:pPr>
        <w:pStyle w:val="berschrift2"/>
      </w:pPr>
      <w:r>
        <w:rPr>
          <w:noProof/>
          <w:lang w:eastAsia="de-DE"/>
        </w:rPr>
        <mc:AlternateContent>
          <mc:Choice Requires="wps">
            <w:drawing>
              <wp:anchor distT="0" distB="0" distL="114300" distR="114300" simplePos="0" relativeHeight="251659264" behindDoc="0" locked="0" layoutInCell="1" allowOverlap="1" wp14:anchorId="2A88FEA3" wp14:editId="649D8137">
                <wp:simplePos x="0" y="0"/>
                <wp:positionH relativeFrom="column">
                  <wp:posOffset>-635</wp:posOffset>
                </wp:positionH>
                <wp:positionV relativeFrom="paragraph">
                  <wp:posOffset>26670</wp:posOffset>
                </wp:positionV>
                <wp:extent cx="5873115" cy="796925"/>
                <wp:effectExtent l="13335" t="10160" r="9525" b="1206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A4FA16" w14:textId="77777777" w:rsidR="00011533" w:rsidRPr="00F31EBF" w:rsidRDefault="00106ACC" w:rsidP="00011533">
                            <w:pPr>
                              <w:rPr>
                                <w:color w:val="auto"/>
                              </w:rPr>
                            </w:pPr>
                            <w:r>
                              <w:rPr>
                                <w:color w:val="auto"/>
                              </w:rPr>
                              <w:t xml:space="preserve">Dieser Versuch beschäftigt sich mit der der Reaktion eines </w:t>
                            </w:r>
                            <w:r w:rsidR="00683389">
                              <w:rPr>
                                <w:color w:val="auto"/>
                              </w:rPr>
                              <w:t>Nichtmetalloxids</w:t>
                            </w:r>
                            <w:r>
                              <w:rPr>
                                <w:color w:val="auto"/>
                              </w:rPr>
                              <w:t xml:space="preserve"> mit Wasser unter Bildung einer Säure. SuS sollten bereits die Funktion von Indikatoren (Universalindikator oder Lackmus) kennen, um saure bzw. alkalische Lösungen nachzuweisen.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8FEA3" id="Textfeld 3" o:spid="_x0000_s1027"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bf7wIAADA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" fillcolor="white [3201]" strokecolor="#4bacc6 [3208]" strokeweight="1pt">
                <v:stroke dashstyle="dash"/>
                <v:shadow color="#868686"/>
                <v:textbox>
                  <w:txbxContent>
                    <w:p w14:paraId="57A4FA16" w14:textId="77777777" w:rsidR="00011533" w:rsidRPr="00F31EBF" w:rsidRDefault="00106ACC" w:rsidP="00011533">
                      <w:pPr>
                        <w:rPr>
                          <w:color w:val="auto"/>
                        </w:rPr>
                      </w:pPr>
                      <w:r>
                        <w:rPr>
                          <w:color w:val="auto"/>
                        </w:rPr>
                        <w:t xml:space="preserve">Dieser Versuch beschäftigt sich mit der der Reaktion eines </w:t>
                      </w:r>
                      <w:r w:rsidR="00683389">
                        <w:rPr>
                          <w:color w:val="auto"/>
                        </w:rPr>
                        <w:t>Nichtmetalloxids</w:t>
                      </w:r>
                      <w:r>
                        <w:rPr>
                          <w:color w:val="auto"/>
                        </w:rPr>
                        <w:t xml:space="preserve"> mit Wasser unter Bildung einer Säure. SuS sollten bereits die Funktion von Indikatoren (Universalindikator oder Lackmus) kennen, um saure bzw. alkalische Lösungen nachzuweisen.</w:t>
                      </w:r>
                    </w:p>
                  </w:txbxContent>
                </v:textbox>
                <w10:wrap type="square"/>
              </v:shape>
            </w:pict>
          </mc:Fallback>
        </mc:AlternateContent>
      </w:r>
      <w:bookmarkEnd w:id="3"/>
      <w:bookmarkEnd w:id="4"/>
      <w:bookmarkEnd w:id="5"/>
    </w:p>
    <w:tbl>
      <w:tblPr>
        <w:tblStyle w:val="HelleListe-Akzent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11533" w:rsidRPr="009C5E28" w14:paraId="35458C22" w14:textId="77777777" w:rsidTr="0011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14:paraId="41E625D1" w14:textId="77777777" w:rsidR="00011533" w:rsidRPr="00F31EBF" w:rsidRDefault="00011533" w:rsidP="00027AFB">
            <w:pPr>
              <w:jc w:val="center"/>
              <w:rPr>
                <w:b w:val="0"/>
                <w:bCs w:val="0"/>
                <w:color w:val="FFFFFF" w:themeColor="background1"/>
              </w:rPr>
            </w:pPr>
            <w:r w:rsidRPr="00F31EBF">
              <w:rPr>
                <w:color w:val="FFFFFF" w:themeColor="background1"/>
              </w:rPr>
              <w:t>Gefahrenstoffe</w:t>
            </w:r>
          </w:p>
        </w:tc>
      </w:tr>
      <w:tr w:rsidR="00011533" w:rsidRPr="009C5E28" w14:paraId="3B4162CC" w14:textId="77777777" w:rsidTr="001171B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14:paraId="481DB996" w14:textId="77777777" w:rsidR="00011533" w:rsidRPr="001171B0" w:rsidRDefault="00106ACC" w:rsidP="00027AFB">
            <w:pPr>
              <w:spacing w:line="276" w:lineRule="auto"/>
              <w:jc w:val="center"/>
              <w:rPr>
                <w:b w:val="0"/>
                <w:bCs w:val="0"/>
                <w:sz w:val="20"/>
                <w:szCs w:val="20"/>
              </w:rPr>
            </w:pPr>
            <w:r w:rsidRPr="001171B0">
              <w:rPr>
                <w:b w:val="0"/>
                <w:sz w:val="20"/>
                <w:szCs w:val="20"/>
              </w:rPr>
              <w:t>Schwefel</w:t>
            </w:r>
          </w:p>
        </w:tc>
        <w:tc>
          <w:tcPr>
            <w:tcW w:w="3177" w:type="dxa"/>
            <w:gridSpan w:val="3"/>
          </w:tcPr>
          <w:p w14:paraId="3765830A" w14:textId="77777777" w:rsidR="00011533" w:rsidRPr="001171B0" w:rsidRDefault="00011533" w:rsidP="00027AF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 xml:space="preserve">H: </w:t>
            </w:r>
            <w:r w:rsidR="00106ACC" w:rsidRPr="001171B0">
              <w:rPr>
                <w:sz w:val="20"/>
                <w:szCs w:val="20"/>
              </w:rPr>
              <w:t>315</w:t>
            </w:r>
          </w:p>
        </w:tc>
        <w:tc>
          <w:tcPr>
            <w:tcW w:w="3118" w:type="dxa"/>
            <w:gridSpan w:val="3"/>
          </w:tcPr>
          <w:p w14:paraId="4C60DE6A" w14:textId="77777777" w:rsidR="00011533" w:rsidRPr="001171B0" w:rsidRDefault="00011533" w:rsidP="00027AFB">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 xml:space="preserve">P: </w:t>
            </w:r>
            <w:r w:rsidR="00106ACC" w:rsidRPr="001171B0">
              <w:rPr>
                <w:sz w:val="20"/>
                <w:szCs w:val="20"/>
              </w:rPr>
              <w:t>302+352</w:t>
            </w:r>
          </w:p>
        </w:tc>
      </w:tr>
      <w:tr w:rsidR="00011533" w:rsidRPr="009C5E28" w14:paraId="46AC7492" w14:textId="77777777" w:rsidTr="001171B0">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5678013A" w14:textId="77777777" w:rsidR="00011533" w:rsidRPr="001171B0" w:rsidRDefault="00106ACC" w:rsidP="00027AFB">
            <w:pPr>
              <w:spacing w:line="276" w:lineRule="auto"/>
              <w:jc w:val="center"/>
              <w:rPr>
                <w:b w:val="0"/>
                <w:bCs w:val="0"/>
                <w:sz w:val="20"/>
                <w:szCs w:val="20"/>
              </w:rPr>
            </w:pPr>
            <w:r w:rsidRPr="001171B0">
              <w:rPr>
                <w:b w:val="0"/>
                <w:color w:val="auto"/>
                <w:sz w:val="20"/>
                <w:szCs w:val="20"/>
              </w:rPr>
              <w:t>Schwefeldioxid</w:t>
            </w:r>
          </w:p>
        </w:tc>
        <w:tc>
          <w:tcPr>
            <w:tcW w:w="3177" w:type="dxa"/>
            <w:gridSpan w:val="3"/>
          </w:tcPr>
          <w:p w14:paraId="54D3F519" w14:textId="77777777" w:rsidR="00011533" w:rsidRPr="001171B0" w:rsidRDefault="00011533" w:rsidP="00106ACC">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 xml:space="preserve">H: </w:t>
            </w:r>
            <w:r w:rsidR="00106ACC" w:rsidRPr="001171B0">
              <w:rPr>
                <w:sz w:val="20"/>
                <w:szCs w:val="20"/>
              </w:rPr>
              <w:t>331, 314</w:t>
            </w:r>
          </w:p>
        </w:tc>
        <w:tc>
          <w:tcPr>
            <w:tcW w:w="3118" w:type="dxa"/>
            <w:gridSpan w:val="3"/>
          </w:tcPr>
          <w:p w14:paraId="626E908E" w14:textId="77777777" w:rsidR="00011533" w:rsidRPr="001171B0" w:rsidRDefault="00106ACC" w:rsidP="00027AFB">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P: 260, 280, 304+340, 303+361+353, 305+351+338, 315, 405, 403</w:t>
            </w:r>
          </w:p>
        </w:tc>
      </w:tr>
      <w:tr w:rsidR="003D3F07" w:rsidRPr="009C5E28" w14:paraId="67431955" w14:textId="77777777" w:rsidTr="001171B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6100EED6" w14:textId="77777777" w:rsidR="003D3F07" w:rsidRPr="001171B0" w:rsidRDefault="003D3F07" w:rsidP="00027AFB">
            <w:pPr>
              <w:spacing w:line="276" w:lineRule="auto"/>
              <w:jc w:val="center"/>
              <w:rPr>
                <w:b w:val="0"/>
                <w:color w:val="auto"/>
                <w:sz w:val="20"/>
                <w:szCs w:val="20"/>
              </w:rPr>
            </w:pPr>
            <w:r w:rsidRPr="001171B0">
              <w:rPr>
                <w:b w:val="0"/>
                <w:color w:val="auto"/>
                <w:sz w:val="20"/>
                <w:szCs w:val="20"/>
              </w:rPr>
              <w:t>Schweflige Säure (w=5-6%)</w:t>
            </w:r>
          </w:p>
        </w:tc>
        <w:tc>
          <w:tcPr>
            <w:tcW w:w="3177" w:type="dxa"/>
            <w:gridSpan w:val="3"/>
          </w:tcPr>
          <w:p w14:paraId="7BD773DC" w14:textId="77777777" w:rsidR="003D3F07" w:rsidRPr="001171B0" w:rsidRDefault="003D3F07" w:rsidP="00106ACC">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H: 332, 314</w:t>
            </w:r>
          </w:p>
        </w:tc>
        <w:tc>
          <w:tcPr>
            <w:tcW w:w="3118" w:type="dxa"/>
            <w:gridSpan w:val="3"/>
          </w:tcPr>
          <w:p w14:paraId="1384C340" w14:textId="77777777" w:rsidR="003D3F07" w:rsidRPr="001171B0" w:rsidRDefault="003D3F07" w:rsidP="00027AFB">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P: 260, 301+330+331, 303+361+353, 305+351+338, 405, 501.1</w:t>
            </w:r>
          </w:p>
        </w:tc>
      </w:tr>
      <w:tr w:rsidR="003D3F07" w:rsidRPr="009C5E28" w14:paraId="0E96743A" w14:textId="77777777" w:rsidTr="001171B0">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142FBCBB" w14:textId="77777777" w:rsidR="003D3F07" w:rsidRPr="001171B0" w:rsidRDefault="003D3F07" w:rsidP="00027AFB">
            <w:pPr>
              <w:spacing w:line="276" w:lineRule="auto"/>
              <w:jc w:val="center"/>
              <w:rPr>
                <w:b w:val="0"/>
                <w:color w:val="auto"/>
                <w:sz w:val="20"/>
                <w:szCs w:val="20"/>
              </w:rPr>
            </w:pPr>
            <w:r w:rsidRPr="001171B0">
              <w:rPr>
                <w:b w:val="0"/>
                <w:color w:val="auto"/>
                <w:sz w:val="20"/>
                <w:szCs w:val="20"/>
              </w:rPr>
              <w:t>Universalindikator</w:t>
            </w:r>
          </w:p>
        </w:tc>
        <w:tc>
          <w:tcPr>
            <w:tcW w:w="3177" w:type="dxa"/>
            <w:gridSpan w:val="3"/>
          </w:tcPr>
          <w:p w14:paraId="0668062A" w14:textId="77777777" w:rsidR="003D3F07" w:rsidRPr="001171B0" w:rsidRDefault="003D3F07" w:rsidP="00106ACC">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H: 225</w:t>
            </w:r>
          </w:p>
        </w:tc>
        <w:tc>
          <w:tcPr>
            <w:tcW w:w="3118" w:type="dxa"/>
            <w:gridSpan w:val="3"/>
          </w:tcPr>
          <w:p w14:paraId="5FC11D86" w14:textId="77777777" w:rsidR="003D3F07" w:rsidRPr="001171B0" w:rsidRDefault="003D3F07" w:rsidP="00027AFB">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1171B0">
              <w:rPr>
                <w:sz w:val="20"/>
                <w:szCs w:val="20"/>
              </w:rPr>
              <w:t>P: 210, 233, 370+378a, 403+235</w:t>
            </w:r>
          </w:p>
        </w:tc>
      </w:tr>
      <w:tr w:rsidR="003D3F07" w:rsidRPr="009C5E28" w14:paraId="1ABD610C" w14:textId="77777777" w:rsidTr="001171B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3CF580AE" w14:textId="77777777" w:rsidR="003D3F07" w:rsidRPr="001171B0" w:rsidRDefault="003D3F07" w:rsidP="00027AFB">
            <w:pPr>
              <w:spacing w:line="276" w:lineRule="auto"/>
              <w:jc w:val="center"/>
              <w:rPr>
                <w:b w:val="0"/>
                <w:color w:val="auto"/>
                <w:sz w:val="20"/>
                <w:szCs w:val="20"/>
              </w:rPr>
            </w:pPr>
            <w:r w:rsidRPr="001171B0">
              <w:rPr>
                <w:b w:val="0"/>
                <w:color w:val="auto"/>
                <w:sz w:val="20"/>
                <w:szCs w:val="20"/>
              </w:rPr>
              <w:t>Lackmus</w:t>
            </w:r>
          </w:p>
        </w:tc>
        <w:tc>
          <w:tcPr>
            <w:tcW w:w="3177" w:type="dxa"/>
            <w:gridSpan w:val="3"/>
          </w:tcPr>
          <w:p w14:paraId="3156621D" w14:textId="77777777" w:rsidR="003D3F07" w:rsidRPr="001171B0" w:rsidRDefault="003D3F07" w:rsidP="00106ACC">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H: 351</w:t>
            </w:r>
          </w:p>
        </w:tc>
        <w:tc>
          <w:tcPr>
            <w:tcW w:w="3118" w:type="dxa"/>
            <w:gridSpan w:val="3"/>
          </w:tcPr>
          <w:p w14:paraId="59FEB046" w14:textId="77777777" w:rsidR="003D3F07" w:rsidRPr="001171B0" w:rsidRDefault="003D3F07" w:rsidP="00027AFB">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1171B0">
              <w:rPr>
                <w:sz w:val="20"/>
                <w:szCs w:val="20"/>
              </w:rPr>
              <w:t>P: 281</w:t>
            </w:r>
          </w:p>
        </w:tc>
      </w:tr>
      <w:tr w:rsidR="00011533" w:rsidRPr="009C5E28" w14:paraId="0939B611" w14:textId="77777777" w:rsidTr="001171B0">
        <w:tc>
          <w:tcPr>
            <w:cnfStyle w:val="001000000000" w:firstRow="0" w:lastRow="0" w:firstColumn="1" w:lastColumn="0" w:oddVBand="0" w:evenVBand="0" w:oddHBand="0" w:evenHBand="0" w:firstRowFirstColumn="0" w:firstRowLastColumn="0" w:lastRowFirstColumn="0" w:lastRowLastColumn="0"/>
            <w:tcW w:w="1009" w:type="dxa"/>
          </w:tcPr>
          <w:p w14:paraId="6E40C73F" w14:textId="77777777" w:rsidR="00011533" w:rsidRPr="009C5E28" w:rsidRDefault="00011533" w:rsidP="00027AFB">
            <w:pPr>
              <w:jc w:val="center"/>
              <w:rPr>
                <w:b w:val="0"/>
                <w:bCs w:val="0"/>
              </w:rPr>
            </w:pPr>
            <w:r>
              <w:rPr>
                <w:noProof/>
                <w:lang w:eastAsia="de-DE"/>
              </w:rPr>
              <w:drawing>
                <wp:inline distT="0" distB="0" distL="0" distR="0" wp14:anchorId="0972F832" wp14:editId="1AA84825">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14:paraId="4628BD70" w14:textId="77777777" w:rsidR="00011533" w:rsidRPr="009C5E28" w:rsidRDefault="00011533"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44E46CD6" wp14:editId="0A302CD4">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14:paraId="23F84DC7" w14:textId="77777777" w:rsidR="00011533" w:rsidRPr="009C5E28" w:rsidRDefault="003D3F07"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753487BF" wp14:editId="7B489635">
                  <wp:extent cx="523875" cy="523875"/>
                  <wp:effectExtent l="0" t="0" r="9525" b="9525"/>
                  <wp:docPr id="34" name="Grafik 34"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SVP\Piktogramme\Brennba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Pr>
          <w:p w14:paraId="07CC87D7" w14:textId="77777777" w:rsidR="00011533" w:rsidRPr="009C5E28" w:rsidRDefault="00011533"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2AB757C8" wp14:editId="56AF561E">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Pr>
          <w:p w14:paraId="4C83ED97" w14:textId="77777777" w:rsidR="00011533" w:rsidRPr="009C5E28" w:rsidRDefault="00011533"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1F879B29" wp14:editId="30583AB4">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Pr>
          <w:p w14:paraId="7C3E9351" w14:textId="77777777" w:rsidR="00011533" w:rsidRPr="009C5E28" w:rsidRDefault="003D3F07"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43D0D7D1" wp14:editId="3DF45141">
                  <wp:extent cx="526211" cy="526211"/>
                  <wp:effectExtent l="0" t="0" r="7620" b="7620"/>
                  <wp:docPr id="35" name="Grafik 35" descr="C:\Users\Annika\Desktop\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esktop\SVP\Piktogramme\Gesundheitsgefahr.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25690" cy="525690"/>
                          </a:xfrm>
                          <a:prstGeom prst="rect">
                            <a:avLst/>
                          </a:prstGeom>
                          <a:noFill/>
                          <a:ln>
                            <a:noFill/>
                          </a:ln>
                        </pic:spPr>
                      </pic:pic>
                    </a:graphicData>
                  </a:graphic>
                </wp:inline>
              </w:drawing>
            </w:r>
          </w:p>
        </w:tc>
        <w:tc>
          <w:tcPr>
            <w:tcW w:w="975" w:type="dxa"/>
          </w:tcPr>
          <w:p w14:paraId="07A685FC" w14:textId="77777777" w:rsidR="00011533" w:rsidRPr="009C5E28" w:rsidRDefault="003D3F07"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60DE0CC5" wp14:editId="419CB975">
                  <wp:extent cx="485775" cy="485775"/>
                  <wp:effectExtent l="0" t="0" r="9525" b="9525"/>
                  <wp:docPr id="33" name="Grafik 33" descr="C:\Users\Annika\Desktop\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SVP\Piktogramme\Giftig.pn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485775" cy="485775"/>
                          </a:xfrm>
                          <a:prstGeom prst="rect">
                            <a:avLst/>
                          </a:prstGeom>
                          <a:noFill/>
                          <a:ln>
                            <a:noFill/>
                          </a:ln>
                        </pic:spPr>
                      </pic:pic>
                    </a:graphicData>
                  </a:graphic>
                </wp:inline>
              </w:drawing>
            </w:r>
          </w:p>
        </w:tc>
        <w:tc>
          <w:tcPr>
            <w:tcW w:w="1009" w:type="dxa"/>
          </w:tcPr>
          <w:p w14:paraId="1A6EDC42" w14:textId="77777777" w:rsidR="00011533" w:rsidRPr="009C5E28" w:rsidRDefault="00011533"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348399D1" wp14:editId="37B0B860">
                  <wp:extent cx="457200" cy="4572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454378" cy="454378"/>
                          </a:xfrm>
                          <a:prstGeom prst="rect">
                            <a:avLst/>
                          </a:prstGeom>
                          <a:noFill/>
                          <a:ln>
                            <a:noFill/>
                          </a:ln>
                        </pic:spPr>
                      </pic:pic>
                    </a:graphicData>
                  </a:graphic>
                </wp:inline>
              </w:drawing>
            </w:r>
          </w:p>
        </w:tc>
        <w:tc>
          <w:tcPr>
            <w:tcW w:w="1134" w:type="dxa"/>
          </w:tcPr>
          <w:p w14:paraId="2A047CEF" w14:textId="77777777" w:rsidR="00011533" w:rsidRPr="009C5E28" w:rsidRDefault="00011533" w:rsidP="00027AFB">
            <w:pPr>
              <w:jc w:val="center"/>
              <w:cnfStyle w:val="000000000000" w:firstRow="0" w:lastRow="0" w:firstColumn="0" w:lastColumn="0" w:oddVBand="0" w:evenVBand="0" w:oddHBand="0" w:evenHBand="0" w:firstRowFirstColumn="0" w:firstRowLastColumn="0" w:lastRowFirstColumn="0" w:lastRowLastColumn="0"/>
            </w:pPr>
            <w:r>
              <w:rPr>
                <w:noProof/>
                <w:lang w:eastAsia="de-DE"/>
              </w:rPr>
              <w:drawing>
                <wp:inline distT="0" distB="0" distL="0" distR="0" wp14:anchorId="119DFF5D" wp14:editId="755A4702">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60A6A78" w14:textId="77777777" w:rsidR="00011533" w:rsidRDefault="00655973" w:rsidP="00655973">
      <w:pPr>
        <w:tabs>
          <w:tab w:val="left" w:pos="3510"/>
        </w:tabs>
        <w:ind w:left="1980" w:hanging="1980"/>
      </w:pPr>
      <w:r>
        <w:tab/>
      </w:r>
      <w:r>
        <w:tab/>
      </w:r>
    </w:p>
    <w:p w14:paraId="58A32B39" w14:textId="77777777" w:rsidR="00011533" w:rsidRDefault="00011533" w:rsidP="00011533">
      <w:pPr>
        <w:tabs>
          <w:tab w:val="left" w:pos="1701"/>
          <w:tab w:val="left" w:pos="1985"/>
        </w:tabs>
        <w:ind w:left="1980" w:hanging="1980"/>
      </w:pPr>
      <w:r>
        <w:t xml:space="preserve">Materialien: </w:t>
      </w:r>
      <w:r>
        <w:tab/>
      </w:r>
      <w:r>
        <w:tab/>
      </w:r>
      <w:r w:rsidR="001171B0">
        <w:t>Brenner, großer</w:t>
      </w:r>
      <w:r w:rsidR="00655973">
        <w:t xml:space="preserve"> Standzylinder, Verbrennungslöffel, Metalldeckel, Spatel</w:t>
      </w:r>
    </w:p>
    <w:p w14:paraId="06BE1B4D" w14:textId="77777777" w:rsidR="00011533" w:rsidRDefault="00011533" w:rsidP="00011533">
      <w:pPr>
        <w:tabs>
          <w:tab w:val="left" w:pos="1701"/>
          <w:tab w:val="left" w:pos="1985"/>
        </w:tabs>
        <w:ind w:left="1980" w:hanging="1980"/>
      </w:pPr>
      <w:r>
        <w:t>Chemikalien:</w:t>
      </w:r>
      <w:r>
        <w:tab/>
      </w:r>
      <w:r>
        <w:tab/>
      </w:r>
      <w:r w:rsidR="00655973">
        <w:t>dest</w:t>
      </w:r>
      <w:r w:rsidR="00AA3B59">
        <w:t>illiertes</w:t>
      </w:r>
      <w:r w:rsidR="00655973">
        <w:t xml:space="preserve"> Wasser, Schwefel, </w:t>
      </w:r>
      <w:r w:rsidR="00D177A9">
        <w:t>Indikator (Universalindikator, Lackmus)</w:t>
      </w:r>
    </w:p>
    <w:p w14:paraId="462A1A89" w14:textId="77777777" w:rsidR="00F238DF" w:rsidRPr="00ED07C2" w:rsidRDefault="00D177A9" w:rsidP="001171B0">
      <w:pPr>
        <w:tabs>
          <w:tab w:val="left" w:pos="1701"/>
          <w:tab w:val="left" w:pos="1985"/>
        </w:tabs>
        <w:ind w:left="1980" w:hanging="1980"/>
      </w:pPr>
      <w:r>
        <w:t>Gefahrenhinweis:</w:t>
      </w:r>
      <w:r>
        <w:tab/>
      </w:r>
      <w:r>
        <w:tab/>
        <w:t>Achtung! Im Abzug arbeiten!</w:t>
      </w:r>
    </w:p>
    <w:p w14:paraId="5848D122" w14:textId="77777777" w:rsidR="001171B0" w:rsidRDefault="00011533" w:rsidP="001171B0">
      <w:pPr>
        <w:tabs>
          <w:tab w:val="left" w:pos="1701"/>
          <w:tab w:val="left" w:pos="1985"/>
        </w:tabs>
        <w:ind w:left="1980" w:hanging="1980"/>
      </w:pPr>
      <w:r>
        <w:t xml:space="preserve">Durchführung: </w:t>
      </w:r>
      <w:r>
        <w:tab/>
      </w:r>
      <w:r>
        <w:tab/>
      </w:r>
      <w:r>
        <w:tab/>
      </w:r>
      <w:r w:rsidR="00D177A9">
        <w:t>Vor dem Experiment glüht man zunächst den Verbrennungslöffel aus, um mögliche Rückstände zu entfernen. Man füllt einen Standzylinder ca. drei bis vier Zentimeter hoch mit Wasser und gibt drei Tropfen Universalindikator (alternativ auch Lackmus) zu. Der Verbrennung</w:t>
      </w:r>
      <w:r w:rsidR="00957005">
        <w:t>s</w:t>
      </w:r>
      <w:r w:rsidR="00D177A9">
        <w:t>löffel wird so an dem Metalldeckel befestig, dass er zu etwa zwei Drittel im Standzylinder ist.</w:t>
      </w:r>
    </w:p>
    <w:p w14:paraId="7C8BFD9C" w14:textId="77777777" w:rsidR="00AA3B59" w:rsidRDefault="001171B0" w:rsidP="001171B0">
      <w:pPr>
        <w:tabs>
          <w:tab w:val="left" w:pos="1701"/>
          <w:tab w:val="left" w:pos="1985"/>
        </w:tabs>
        <w:ind w:left="1980" w:hanging="1980"/>
      </w:pPr>
      <w:r>
        <w:tab/>
      </w:r>
      <w:r>
        <w:tab/>
      </w:r>
      <w:r w:rsidR="00D177A9">
        <w:t>Nun wird der Verbrennungslöffel halbvoll mit Schwefel gefüllt. Im Abzug wird der Schwefel über dem Brenner mit rauschender Flamme entzündet und möglichst schnell in den Standzylinder</w:t>
      </w:r>
      <w:r w:rsidR="00F558E2">
        <w:t xml:space="preserve"> gehängt</w:t>
      </w:r>
      <w:r w:rsidR="00D177A9">
        <w:t>.</w:t>
      </w:r>
    </w:p>
    <w:p w14:paraId="218D37F8" w14:textId="77777777" w:rsidR="00AA3B59" w:rsidRDefault="001171B0" w:rsidP="00AA3B59">
      <w:pPr>
        <w:pStyle w:val="Beschriftung"/>
        <w:ind w:left="1416" w:firstLine="708"/>
        <w:jc w:val="left"/>
      </w:pPr>
      <w:r>
        <w:rPr>
          <w:noProof/>
          <w:lang w:eastAsia="de-DE"/>
        </w:rPr>
        <w:lastRenderedPageBreak/>
        <mc:AlternateContent>
          <mc:Choice Requires="wps">
            <w:drawing>
              <wp:anchor distT="0" distB="0" distL="114300" distR="114300" simplePos="0" relativeHeight="251691008" behindDoc="0" locked="0" layoutInCell="1" allowOverlap="1" wp14:anchorId="236308B8" wp14:editId="29525163">
                <wp:simplePos x="0" y="0"/>
                <wp:positionH relativeFrom="column">
                  <wp:posOffset>1351280</wp:posOffset>
                </wp:positionH>
                <wp:positionV relativeFrom="paragraph">
                  <wp:posOffset>3139440</wp:posOffset>
                </wp:positionV>
                <wp:extent cx="3579495"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3579495" cy="635"/>
                        </a:xfrm>
                        <a:prstGeom prst="rect">
                          <a:avLst/>
                        </a:prstGeom>
                        <a:solidFill>
                          <a:prstClr val="white"/>
                        </a:solidFill>
                        <a:ln>
                          <a:noFill/>
                        </a:ln>
                        <a:effectLst/>
                      </wps:spPr>
                      <wps:txbx>
                        <w:txbxContent>
                          <w:p w14:paraId="799CA3CD" w14:textId="77777777" w:rsidR="001171B0" w:rsidRPr="009E3AC6" w:rsidRDefault="001171B0" w:rsidP="001171B0">
                            <w:pPr>
                              <w:pStyle w:val="Beschriftung"/>
                              <w:rPr>
                                <w:noProof/>
                              </w:rPr>
                            </w:pPr>
                            <w:r>
                              <w:t xml:space="preserve">Abbildung </w:t>
                            </w:r>
                            <w:r w:rsidR="00CE688A">
                              <w:fldChar w:fldCharType="begin"/>
                            </w:r>
                            <w:r w:rsidR="00CE688A">
                              <w:instrText xml:space="preserve"> SEQ Abbildung \* ARABIC </w:instrText>
                            </w:r>
                            <w:r w:rsidR="00CE688A">
                              <w:fldChar w:fldCharType="separate"/>
                            </w:r>
                            <w:r w:rsidR="00EC3ADA">
                              <w:rPr>
                                <w:noProof/>
                              </w:rPr>
                              <w:t>1</w:t>
                            </w:r>
                            <w:r w:rsidR="00CE688A">
                              <w:rPr>
                                <w:noProof/>
                              </w:rPr>
                              <w:fldChar w:fldCharType="end"/>
                            </w:r>
                            <w:r>
                              <w:t xml:space="preserve"> </w:t>
                            </w:r>
                            <w:r w:rsidRPr="00C43263">
                              <w:t>schematischer Versuchsaufbau zur Herstellung von schwefliger Säure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6308B8" id="Textfeld 7" o:spid="_x0000_s1028" type="#_x0000_t202" style="position:absolute;left:0;text-align:left;margin-left:106.4pt;margin-top:247.2pt;width:281.8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" stroked="f">
                <v:textbox style="mso-fit-shape-to-text:t" inset="0,0,0,0">
                  <w:txbxContent>
                    <w:p w14:paraId="799CA3CD" w14:textId="77777777" w:rsidR="001171B0" w:rsidRPr="009E3AC6" w:rsidRDefault="001171B0" w:rsidP="001171B0">
                      <w:pPr>
                        <w:pStyle w:val="Beschriftung"/>
                        <w:rPr>
                          <w:noProof/>
                        </w:rPr>
                      </w:pPr>
                      <w:r>
                        <w:t xml:space="preserve">Abbildung </w:t>
                      </w:r>
                      <w:fldSimple w:instr=" SEQ Abbildung \* ARABIC ">
                        <w:r w:rsidR="00EC3ADA">
                          <w:rPr>
                            <w:noProof/>
                          </w:rPr>
                          <w:t>1</w:t>
                        </w:r>
                      </w:fldSimple>
                      <w:r>
                        <w:t xml:space="preserve"> </w:t>
                      </w:r>
                      <w:r w:rsidRPr="00C43263">
                        <w:t>schematischer Versuchsaufbau zur Herstellung von schwefliger Säure</w:t>
                      </w:r>
                    </w:p>
                  </w:txbxContent>
                </v:textbox>
                <w10:wrap type="square"/>
              </v:shape>
            </w:pict>
          </mc:Fallback>
        </mc:AlternateContent>
      </w:r>
      <w:r>
        <w:rPr>
          <w:noProof/>
          <w:lang w:eastAsia="de-DE"/>
        </w:rPr>
        <w:drawing>
          <wp:anchor distT="0" distB="0" distL="114300" distR="114300" simplePos="0" relativeHeight="251688960" behindDoc="0" locked="0" layoutInCell="1" allowOverlap="1" wp14:anchorId="560914EF" wp14:editId="35750A17">
            <wp:simplePos x="0" y="0"/>
            <wp:positionH relativeFrom="column">
              <wp:posOffset>1351280</wp:posOffset>
            </wp:positionH>
            <wp:positionV relativeFrom="paragraph">
              <wp:posOffset>-3175</wp:posOffset>
            </wp:positionV>
            <wp:extent cx="3579495" cy="3085465"/>
            <wp:effectExtent l="0" t="0" r="1905" b="635"/>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stellung von schwefliger Säure.png"/>
                    <pic:cNvPicPr/>
                  </pic:nvPicPr>
                  <pic:blipFill>
                    <a:blip r:embed="rId20" cstate="print">
                      <a:extLst>
                        <a:ext uri="{28A0092B-C50C-407E-A947-70E740481C1C}">
                          <a14:useLocalDpi xmlns:a14="http://schemas.microsoft.com/office/drawing/2010/main"/>
                        </a:ext>
                      </a:extLst>
                    </a:blip>
                    <a:stretch>
                      <a:fillRect/>
                    </a:stretch>
                  </pic:blipFill>
                  <pic:spPr>
                    <a:xfrm>
                      <a:off x="0" y="0"/>
                      <a:ext cx="3579495" cy="3085465"/>
                    </a:xfrm>
                    <a:prstGeom prst="rect">
                      <a:avLst/>
                    </a:prstGeom>
                  </pic:spPr>
                </pic:pic>
              </a:graphicData>
            </a:graphic>
            <wp14:sizeRelH relativeFrom="page">
              <wp14:pctWidth>0</wp14:pctWidth>
            </wp14:sizeRelH>
            <wp14:sizeRelV relativeFrom="page">
              <wp14:pctHeight>0</wp14:pctHeight>
            </wp14:sizeRelV>
          </wp:anchor>
        </w:drawing>
      </w:r>
    </w:p>
    <w:p w14:paraId="41A8E6F5" w14:textId="77777777" w:rsidR="00AA3B59" w:rsidRDefault="00AA3B59" w:rsidP="00AA3B59">
      <w:pPr>
        <w:pStyle w:val="Beschriftung"/>
        <w:ind w:left="2124"/>
      </w:pPr>
    </w:p>
    <w:p w14:paraId="07B111E2" w14:textId="77777777" w:rsidR="00AA3B59" w:rsidRDefault="00AA3B59" w:rsidP="00AA3B59">
      <w:pPr>
        <w:pStyle w:val="Beschriftung"/>
        <w:ind w:left="2124"/>
      </w:pPr>
    </w:p>
    <w:p w14:paraId="2F07CC84" w14:textId="77777777" w:rsidR="00AA3B59" w:rsidRDefault="00AA3B59" w:rsidP="00AA3B59">
      <w:pPr>
        <w:pStyle w:val="Beschriftung"/>
        <w:ind w:left="2124"/>
      </w:pPr>
    </w:p>
    <w:p w14:paraId="593DAD62" w14:textId="77777777" w:rsidR="00AA3B59" w:rsidRDefault="00AA3B59" w:rsidP="00AA3B59">
      <w:pPr>
        <w:pStyle w:val="Beschriftung"/>
        <w:ind w:left="2124"/>
      </w:pPr>
    </w:p>
    <w:p w14:paraId="2E3162BE" w14:textId="77777777" w:rsidR="00AA3B59" w:rsidRDefault="00AA3B59" w:rsidP="00AA3B59">
      <w:pPr>
        <w:pStyle w:val="Beschriftung"/>
        <w:ind w:left="2124"/>
      </w:pPr>
    </w:p>
    <w:p w14:paraId="37A5DA35" w14:textId="77777777" w:rsidR="001171B0" w:rsidRDefault="001171B0" w:rsidP="00AA3B59">
      <w:pPr>
        <w:pStyle w:val="Beschriftung"/>
        <w:ind w:left="2124"/>
      </w:pPr>
    </w:p>
    <w:p w14:paraId="70B0EC28" w14:textId="77777777" w:rsidR="001171B0" w:rsidRDefault="001171B0" w:rsidP="00AA3B59">
      <w:pPr>
        <w:pStyle w:val="Beschriftung"/>
        <w:ind w:left="2124"/>
      </w:pPr>
    </w:p>
    <w:p w14:paraId="4E60B09E" w14:textId="77777777" w:rsidR="001171B0" w:rsidRDefault="001171B0" w:rsidP="00AA3B59">
      <w:pPr>
        <w:pStyle w:val="Beschriftung"/>
        <w:ind w:left="2124"/>
      </w:pPr>
    </w:p>
    <w:p w14:paraId="6E64816D" w14:textId="77777777" w:rsidR="001171B0" w:rsidRDefault="001171B0" w:rsidP="00AA3B59">
      <w:pPr>
        <w:pStyle w:val="Beschriftung"/>
        <w:ind w:left="2124"/>
      </w:pPr>
    </w:p>
    <w:p w14:paraId="20C61F3F" w14:textId="77777777" w:rsidR="001171B0" w:rsidRDefault="001171B0" w:rsidP="00AA3B59">
      <w:pPr>
        <w:pStyle w:val="Beschriftung"/>
        <w:ind w:left="2124"/>
      </w:pPr>
    </w:p>
    <w:p w14:paraId="6BA9760C" w14:textId="77777777" w:rsidR="001171B0" w:rsidRDefault="001171B0" w:rsidP="00AA3B59">
      <w:pPr>
        <w:pStyle w:val="Beschriftung"/>
        <w:ind w:left="2124"/>
      </w:pPr>
    </w:p>
    <w:p w14:paraId="5F22931C" w14:textId="77777777" w:rsidR="001171B0" w:rsidRDefault="001171B0" w:rsidP="00AA3B59">
      <w:pPr>
        <w:pStyle w:val="Beschriftung"/>
        <w:ind w:left="2124"/>
      </w:pPr>
    </w:p>
    <w:p w14:paraId="4C72709D" w14:textId="77777777" w:rsidR="001171B0" w:rsidRDefault="001171B0" w:rsidP="00AA3B59">
      <w:pPr>
        <w:pStyle w:val="Beschriftung"/>
        <w:ind w:left="2124"/>
      </w:pPr>
    </w:p>
    <w:p w14:paraId="5D570FE6" w14:textId="77777777" w:rsidR="00011533" w:rsidRDefault="00011533" w:rsidP="00743083">
      <w:pPr>
        <w:tabs>
          <w:tab w:val="left" w:pos="1701"/>
          <w:tab w:val="left" w:pos="1985"/>
        </w:tabs>
        <w:ind w:left="2124" w:hanging="2124"/>
      </w:pPr>
      <w:r>
        <w:t>Beobachtung:</w:t>
      </w:r>
      <w:r>
        <w:tab/>
      </w:r>
      <w:r>
        <w:tab/>
      </w:r>
      <w:r w:rsidR="00743083">
        <w:tab/>
      </w:r>
      <w:r w:rsidR="000724C3">
        <w:t>Der Schwefel verbrennt mit bläulicher Flamme. Weißlicher Nebel ist zu erkennen. Die wässrige Lösung mit dem Universalindikator färbt sich von grün nach rot. (Bei Verwendung von Lackmus als Indikator färbt sich die Lösung von violett zu rot.)</w:t>
      </w:r>
    </w:p>
    <w:p w14:paraId="7009D4BA" w14:textId="77777777" w:rsidR="00EC3ADA" w:rsidRDefault="00EC3ADA" w:rsidP="00AA3B59">
      <w:pPr>
        <w:tabs>
          <w:tab w:val="left" w:pos="1701"/>
          <w:tab w:val="left" w:pos="1985"/>
        </w:tabs>
        <w:ind w:left="2124" w:hanging="2124"/>
      </w:pPr>
    </w:p>
    <w:p w14:paraId="4432CC2C" w14:textId="77777777" w:rsidR="00EC3ADA" w:rsidRDefault="00EC3ADA" w:rsidP="00AA3B59">
      <w:pPr>
        <w:tabs>
          <w:tab w:val="left" w:pos="1701"/>
          <w:tab w:val="left" w:pos="1985"/>
        </w:tabs>
        <w:ind w:left="2124" w:hanging="2124"/>
      </w:pPr>
      <w:r>
        <w:rPr>
          <w:noProof/>
          <w:lang w:eastAsia="de-DE"/>
        </w:rPr>
        <w:drawing>
          <wp:anchor distT="0" distB="0" distL="114300" distR="114300" simplePos="0" relativeHeight="251675648" behindDoc="0" locked="0" layoutInCell="1" allowOverlap="1" wp14:anchorId="6610D218" wp14:editId="32B593CD">
            <wp:simplePos x="0" y="0"/>
            <wp:positionH relativeFrom="column">
              <wp:posOffset>871855</wp:posOffset>
            </wp:positionH>
            <wp:positionV relativeFrom="paragraph">
              <wp:posOffset>237490</wp:posOffset>
            </wp:positionV>
            <wp:extent cx="2358390" cy="1397000"/>
            <wp:effectExtent l="4445" t="0" r="8255" b="8255"/>
            <wp:wrapSquare wrapText="bothSides"/>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06.JPG"/>
                    <pic:cNvPicPr/>
                  </pic:nvPicPr>
                  <pic:blipFill rotWithShape="1">
                    <a:blip r:embed="rId21" cstate="print">
                      <a:extLst>
                        <a:ext uri="{28A0092B-C50C-407E-A947-70E740481C1C}">
                          <a14:useLocalDpi xmlns:a14="http://schemas.microsoft.com/office/drawing/2010/main"/>
                        </a:ext>
                      </a:extLst>
                    </a:blip>
                    <a:srcRect/>
                    <a:stretch/>
                  </pic:blipFill>
                  <pic:spPr bwMode="auto">
                    <a:xfrm rot="5400000">
                      <a:off x="0" y="0"/>
                      <a:ext cx="2358390" cy="1397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F7D56" w14:textId="77777777" w:rsidR="00EC3ADA" w:rsidRDefault="00EC3ADA" w:rsidP="00AA3B59">
      <w:pPr>
        <w:tabs>
          <w:tab w:val="left" w:pos="1701"/>
          <w:tab w:val="left" w:pos="1985"/>
        </w:tabs>
        <w:ind w:left="2124" w:hanging="2124"/>
      </w:pPr>
    </w:p>
    <w:p w14:paraId="120845C7" w14:textId="77777777" w:rsidR="00EC3ADA" w:rsidRDefault="00EC3ADA" w:rsidP="00AA3B59">
      <w:pPr>
        <w:tabs>
          <w:tab w:val="left" w:pos="1701"/>
          <w:tab w:val="left" w:pos="1985"/>
        </w:tabs>
        <w:ind w:left="2124" w:hanging="2124"/>
      </w:pPr>
    </w:p>
    <w:p w14:paraId="6269AEBE" w14:textId="77777777" w:rsidR="00EC3ADA" w:rsidRDefault="00EC3ADA" w:rsidP="00AA3B59">
      <w:pPr>
        <w:tabs>
          <w:tab w:val="left" w:pos="1701"/>
          <w:tab w:val="left" w:pos="1985"/>
        </w:tabs>
        <w:ind w:left="2124" w:hanging="2124"/>
      </w:pPr>
      <w:r>
        <w:rPr>
          <w:noProof/>
          <w:lang w:eastAsia="de-DE"/>
        </w:rPr>
        <mc:AlternateContent>
          <mc:Choice Requires="wps">
            <w:drawing>
              <wp:anchor distT="0" distB="0" distL="114300" distR="114300" simplePos="0" relativeHeight="251693056" behindDoc="0" locked="0" layoutInCell="1" allowOverlap="1" wp14:anchorId="21235F23" wp14:editId="6505768A">
                <wp:simplePos x="0" y="0"/>
                <wp:positionH relativeFrom="column">
                  <wp:posOffset>2749550</wp:posOffset>
                </wp:positionH>
                <wp:positionV relativeFrom="paragraph">
                  <wp:posOffset>27940</wp:posOffset>
                </wp:positionV>
                <wp:extent cx="1397000" cy="635"/>
                <wp:effectExtent l="0" t="0" r="0" b="2540"/>
                <wp:wrapSquare wrapText="bothSides"/>
                <wp:docPr id="11" name="Textfeld 11"/>
                <wp:cNvGraphicFramePr/>
                <a:graphic xmlns:a="http://schemas.openxmlformats.org/drawingml/2006/main">
                  <a:graphicData uri="http://schemas.microsoft.com/office/word/2010/wordprocessingShape">
                    <wps:wsp>
                      <wps:cNvSpPr txBox="1"/>
                      <wps:spPr>
                        <a:xfrm>
                          <a:off x="0" y="0"/>
                          <a:ext cx="1397000" cy="635"/>
                        </a:xfrm>
                        <a:prstGeom prst="rect">
                          <a:avLst/>
                        </a:prstGeom>
                        <a:solidFill>
                          <a:prstClr val="white"/>
                        </a:solidFill>
                        <a:ln>
                          <a:noFill/>
                        </a:ln>
                        <a:effectLst/>
                      </wps:spPr>
                      <wps:txbx>
                        <w:txbxContent>
                          <w:p w14:paraId="3141B8E9" w14:textId="77777777" w:rsidR="00EC3ADA" w:rsidRPr="00A0724C" w:rsidRDefault="00EC3ADA" w:rsidP="00EC3ADA">
                            <w:pPr>
                              <w:pStyle w:val="Beschriftung"/>
                              <w:rPr>
                                <w:noProof/>
                                <w:color w:val="1D1B11" w:themeColor="background2" w:themeShade="1A"/>
                              </w:rPr>
                            </w:pPr>
                            <w:r>
                              <w:t xml:space="preserve">Abbildung </w:t>
                            </w:r>
                            <w:r w:rsidR="00CE688A">
                              <w:fldChar w:fldCharType="begin"/>
                            </w:r>
                            <w:r w:rsidR="00CE688A">
                              <w:instrText xml:space="preserve"> SEQ Abbildung \* ARABIC </w:instrText>
                            </w:r>
                            <w:r w:rsidR="00CE688A">
                              <w:fldChar w:fldCharType="separate"/>
                            </w:r>
                            <w:r>
                              <w:rPr>
                                <w:noProof/>
                              </w:rPr>
                              <w:t>2</w:t>
                            </w:r>
                            <w:r w:rsidR="00CE688A">
                              <w:rPr>
                                <w:noProof/>
                              </w:rPr>
                              <w:fldChar w:fldCharType="end"/>
                            </w:r>
                            <w:r>
                              <w:t xml:space="preserve"> </w:t>
                            </w:r>
                            <w:r w:rsidRPr="001F3C37">
                              <w:t>Die wässrige Lösung färbt sich von violett nach rot, bei Verwendung von Lackmus als Indikator. (oben ist die Lösung bereit rot und unten noch violett)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235F23" id="Textfeld 11" o:spid="_x0000_s1029" type="#_x0000_t202" style="position:absolute;left:0;text-align:left;margin-left:216.5pt;margin-top:2.2pt;width:110pt;height:.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" stroked="f">
                <v:textbox style="mso-fit-shape-to-text:t" inset="0,0,0,0">
                  <w:txbxContent>
                    <w:p w14:paraId="3141B8E9" w14:textId="77777777" w:rsidR="00EC3ADA" w:rsidRPr="00A0724C" w:rsidRDefault="00EC3ADA" w:rsidP="00EC3ADA">
                      <w:pPr>
                        <w:pStyle w:val="Beschriftung"/>
                        <w:rPr>
                          <w:noProof/>
                          <w:color w:val="1D1B11" w:themeColor="background2" w:themeShade="1A"/>
                        </w:rPr>
                      </w:pPr>
                      <w:r>
                        <w:t xml:space="preserve">Abbildung </w:t>
                      </w:r>
                      <w:fldSimple w:instr=" SEQ Abbildung \* ARABIC ">
                        <w:r>
                          <w:rPr>
                            <w:noProof/>
                          </w:rPr>
                          <w:t>2</w:t>
                        </w:r>
                      </w:fldSimple>
                      <w:r>
                        <w:t xml:space="preserve"> </w:t>
                      </w:r>
                      <w:r w:rsidRPr="001F3C37">
                        <w:t>Die wässrige Lösung färbt sich von violett nach rot, bei Verwendung von Lackmus als Indikator. (oben ist die Lösung bereit rot und unten noch violett)</w:t>
                      </w:r>
                    </w:p>
                  </w:txbxContent>
                </v:textbox>
                <w10:wrap type="square"/>
              </v:shape>
            </w:pict>
          </mc:Fallback>
        </mc:AlternateContent>
      </w:r>
    </w:p>
    <w:p w14:paraId="0B61ABDC" w14:textId="77777777" w:rsidR="00EC3ADA" w:rsidRDefault="00EC3ADA" w:rsidP="00AA3B59">
      <w:pPr>
        <w:tabs>
          <w:tab w:val="left" w:pos="1701"/>
          <w:tab w:val="left" w:pos="1985"/>
        </w:tabs>
        <w:ind w:left="2124" w:hanging="2124"/>
      </w:pPr>
    </w:p>
    <w:p w14:paraId="3D0ABB90" w14:textId="77777777" w:rsidR="00EC3ADA" w:rsidRDefault="00EC3ADA" w:rsidP="00AA3B59">
      <w:pPr>
        <w:tabs>
          <w:tab w:val="left" w:pos="1701"/>
          <w:tab w:val="left" w:pos="1985"/>
        </w:tabs>
        <w:ind w:left="2124" w:hanging="2124"/>
      </w:pPr>
    </w:p>
    <w:p w14:paraId="5FCA5655" w14:textId="77777777" w:rsidR="00683389" w:rsidRDefault="00743083" w:rsidP="00AA3B59">
      <w:pPr>
        <w:tabs>
          <w:tab w:val="left" w:pos="1701"/>
          <w:tab w:val="left" w:pos="1985"/>
        </w:tabs>
        <w:ind w:left="2124" w:hanging="2124"/>
      </w:pPr>
      <w:r>
        <w:t>Deutung:</w:t>
      </w:r>
      <w:r>
        <w:tab/>
      </w:r>
      <w:r>
        <w:tab/>
      </w:r>
      <w:r>
        <w:tab/>
      </w:r>
      <w:r w:rsidR="00AA3B59">
        <w:t>Bei der Verbrennung von Schwefel entsteh</w:t>
      </w:r>
      <w:r>
        <w:t xml:space="preserve">t Schwefeldioxid. Es bildet mit </w:t>
      </w:r>
      <w:r w:rsidR="00AA3B59">
        <w:t>Wasser eine saure Lösung</w:t>
      </w:r>
      <w:r w:rsidR="000C6438">
        <w:t xml:space="preserve">. </w:t>
      </w:r>
    </w:p>
    <w:p w14:paraId="705EDE9B" w14:textId="77777777" w:rsidR="00011533" w:rsidRDefault="00683389" w:rsidP="00AA3B59">
      <w:pPr>
        <w:tabs>
          <w:tab w:val="left" w:pos="1701"/>
          <w:tab w:val="left" w:pos="1985"/>
        </w:tabs>
        <w:ind w:left="2124" w:hanging="2124"/>
      </w:pPr>
      <w:r>
        <w:tab/>
      </w:r>
      <w:r>
        <w:tab/>
      </w:r>
      <w:r>
        <w:tab/>
      </w:r>
      <w:r w:rsidR="000C6438">
        <w:t xml:space="preserve">Die Bildung der sauren Lösung kann man sich modellhaft wie folgt vorstellen: </w:t>
      </w:r>
    </w:p>
    <w:p w14:paraId="028ED773" w14:textId="77777777" w:rsidR="00683389" w:rsidRPr="00683389" w:rsidRDefault="000C6438" w:rsidP="00683389">
      <w:pPr>
        <w:tabs>
          <w:tab w:val="left" w:pos="1701"/>
          <w:tab w:val="left" w:pos="1985"/>
        </w:tabs>
        <w:ind w:left="2124" w:hanging="2124"/>
        <w:rPr>
          <w:rFonts w:eastAsiaTheme="minorEastAsia"/>
        </w:rPr>
      </w:pPr>
      <w:r>
        <w:tab/>
      </w:r>
      <w:r>
        <w:tab/>
      </w:r>
      <w:r>
        <w:tab/>
      </w:r>
      <m:oMath>
        <m:sSub>
          <m:sSubPr>
            <m:ctrlPr>
              <w:rPr>
                <w:rFonts w:ascii="Cambria Math" w:hAnsi="Cambria Math"/>
              </w:rPr>
            </m:ctrlPr>
          </m:sSubPr>
          <m:e>
            <m:r>
              <m:rPr>
                <m:sty m:val="p"/>
              </m:rPr>
              <w:rPr>
                <w:rFonts w:ascii="Cambria Math" w:hAnsi="Cambria Math"/>
              </w:rPr>
              <m:t>SO</m:t>
            </m:r>
          </m:e>
          <m:sub>
            <m:r>
              <m:rPr>
                <m:sty m:val="p"/>
              </m:rPr>
              <w:rPr>
                <w:rFonts w:ascii="Cambria Math" w:hAnsi="Cambria Math"/>
              </w:rPr>
              <m:t>2</m:t>
            </m:r>
            <m:sSub>
              <m:sSubPr>
                <m:ctrlPr>
                  <w:rPr>
                    <w:rFonts w:ascii="Cambria Math" w:hAnsi="Cambria Math"/>
                  </w:rPr>
                </m:ctrlPr>
              </m:sSubPr>
              <m:e>
                <m:r>
                  <m:rPr>
                    <m:sty m:val="p"/>
                  </m:rPr>
                  <w:rPr>
                    <w:rFonts w:ascii="Cambria Math" w:hAnsi="Cambria Math"/>
                  </w:rPr>
                  <m:t>(g)</m:t>
                </m:r>
              </m:e>
              <m:sub/>
            </m:sSub>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3(aq)</m:t>
            </m:r>
          </m:sub>
        </m:sSub>
      </m:oMath>
      <w:r w:rsidRPr="00683389">
        <w:rPr>
          <w:rFonts w:eastAsiaTheme="minorEastAsia"/>
        </w:rPr>
        <w:t xml:space="preserve">  </w:t>
      </w:r>
    </w:p>
    <w:p w14:paraId="3CEC030F" w14:textId="77777777" w:rsidR="000C6438" w:rsidRDefault="000C6438" w:rsidP="00AA3B59">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w:r w:rsidR="003B64EF">
        <w:rPr>
          <w:rFonts w:eastAsiaTheme="minorEastAsia"/>
        </w:rPr>
        <w:tab/>
      </w:r>
      <w:r w:rsidR="00683389">
        <w:rPr>
          <w:rFonts w:eastAsiaTheme="minorEastAsia"/>
        </w:rPr>
        <w:t xml:space="preserve">Mit weiteren Wassermolekülen werden Oxoniumionen und zwei Arten von </w:t>
      </w:r>
      <w:r w:rsidR="00AD1E3A">
        <w:rPr>
          <w:rFonts w:eastAsiaTheme="minorEastAsia"/>
        </w:rPr>
        <w:t>Säurerest-Ionen</w:t>
      </w:r>
      <w:r w:rsidR="00683389">
        <w:rPr>
          <w:rFonts w:eastAsiaTheme="minorEastAsia"/>
        </w:rPr>
        <w:t xml:space="preserve"> gebildet:</w:t>
      </w:r>
    </w:p>
    <w:p w14:paraId="453E3DB4" w14:textId="77777777" w:rsidR="00683389" w:rsidRPr="00AD1E3A" w:rsidRDefault="00683389" w:rsidP="00AA3B59">
      <w:pPr>
        <w:tabs>
          <w:tab w:val="left" w:pos="1701"/>
          <w:tab w:val="left" w:pos="1985"/>
        </w:tabs>
        <w:ind w:left="2124" w:hanging="2124"/>
        <w:rPr>
          <w:rFonts w:eastAsiaTheme="minorEastAsia"/>
        </w:rPr>
      </w:pPr>
      <w:r>
        <w:rPr>
          <w:rFonts w:eastAsiaTheme="minorEastAsia"/>
        </w:rPr>
        <w:tab/>
      </w:r>
      <w:r>
        <w:rPr>
          <w:rFonts w:eastAsiaTheme="minorEastAsia"/>
        </w:rPr>
        <w:tab/>
      </w:r>
      <w:r w:rsidR="003B64EF">
        <w:rPr>
          <w:rFonts w:eastAsiaTheme="minorEastAsia"/>
        </w:rPr>
        <w:tab/>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sSub>
          <m:sSubPr>
            <m:ctrlPr>
              <w:rPr>
                <w:rFonts w:ascii="Cambria Math" w:eastAsiaTheme="minorEastAsia" w:hAnsi="Cambria Math"/>
              </w:rPr>
            </m:ctrlPr>
          </m:sSubPr>
          <m:e>
            <m:r>
              <m:rPr>
                <m:sty m:val="p"/>
              </m:rPr>
              <w:rPr>
                <w:rFonts w:ascii="Cambria Math" w:eastAsiaTheme="minorEastAsia" w:hAnsi="Cambria Math"/>
              </w:rPr>
              <m:t>SO</m:t>
            </m:r>
          </m:e>
          <m:sub>
            <m:r>
              <m:rPr>
                <m:sty m:val="p"/>
              </m:rPr>
              <w:rPr>
                <w:rFonts w:ascii="Cambria Math" w:eastAsiaTheme="minorEastAsia" w:hAnsi="Cambria Math"/>
              </w:rPr>
              <m:t>3(aq)</m:t>
            </m:r>
          </m:sub>
        </m:sSub>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HSO</m:t>
            </m:r>
          </m:e>
          <m:sub>
            <m:r>
              <m:rPr>
                <m:sty m:val="p"/>
              </m:rPr>
              <w:rPr>
                <w:rFonts w:ascii="Cambria Math" w:hAnsi="Cambria Math"/>
              </w:rPr>
              <m:t>3(aq)</m:t>
            </m:r>
          </m:sub>
          <m:sup>
            <m:r>
              <m:rPr>
                <m:sty m:val="p"/>
              </m:rPr>
              <w:rPr>
                <w:rFonts w:ascii="Cambria Math" w:hAnsi="Cambria Math"/>
              </w:rPr>
              <m:t>-</m:t>
            </m:r>
          </m:sup>
        </m:sSubSup>
      </m:oMath>
    </w:p>
    <w:p w14:paraId="7FD1F868" w14:textId="77777777" w:rsidR="00AD1E3A" w:rsidRPr="00AD1E3A" w:rsidRDefault="00683389" w:rsidP="00AD1E3A">
      <w:pPr>
        <w:tabs>
          <w:tab w:val="left" w:pos="1701"/>
          <w:tab w:val="left" w:pos="1985"/>
        </w:tabs>
        <w:ind w:left="2124" w:hanging="2124"/>
        <w:rPr>
          <w:rFonts w:eastAsiaTheme="minorEastAsia"/>
        </w:rPr>
      </w:pPr>
      <w:r w:rsidRPr="00AD1E3A">
        <w:rPr>
          <w:rFonts w:eastAsiaTheme="minorEastAsia"/>
        </w:rPr>
        <w:tab/>
      </w:r>
      <w:r w:rsidRPr="00AD1E3A">
        <w:rPr>
          <w:rFonts w:eastAsiaTheme="minorEastAsia"/>
        </w:rPr>
        <w:tab/>
      </w:r>
      <w:r w:rsidR="003B64EF">
        <w:rPr>
          <w:rFonts w:eastAsiaTheme="minorEastAsia"/>
        </w:rPr>
        <w:tab/>
      </w:r>
      <m:oMath>
        <m:sSubSup>
          <m:sSubSupPr>
            <m:ctrlPr>
              <w:rPr>
                <w:rFonts w:ascii="Cambria Math" w:hAnsi="Cambria Math"/>
              </w:rPr>
            </m:ctrlPr>
          </m:sSubSupPr>
          <m:e>
            <m:r>
              <m:rPr>
                <m:sty m:val="p"/>
              </m:rPr>
              <w:rPr>
                <w:rFonts w:ascii="Cambria Math" w:hAnsi="Cambria Math"/>
              </w:rPr>
              <m:t>HSO</m:t>
            </m:r>
          </m:e>
          <m:sub>
            <m:r>
              <m:rPr>
                <m:sty m:val="p"/>
              </m:rPr>
              <w:rPr>
                <w:rFonts w:ascii="Cambria Math" w:hAnsi="Cambria Math"/>
              </w:rPr>
              <m:t>3(aq)</m:t>
            </m:r>
          </m:sub>
          <m:sup>
            <m:r>
              <m:rPr>
                <m:sty m:val="p"/>
              </m:rPr>
              <w:rPr>
                <w:rFonts w:ascii="Cambria Math" w:hAnsi="Cambria Math"/>
              </w:rPr>
              <m:t>-</m:t>
            </m:r>
          </m:sup>
        </m:sSub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 </m:t>
        </m:r>
        <m:sSubSup>
          <m:sSubSupPr>
            <m:ctrlPr>
              <w:rPr>
                <w:rFonts w:ascii="Cambria Math" w:eastAsiaTheme="minorEastAsia" w:hAnsi="Cambria Math"/>
              </w:rPr>
            </m:ctrlPr>
          </m:sSubSupPr>
          <m:e>
            <m:r>
              <m:rPr>
                <m:sty m:val="p"/>
              </m:rPr>
              <w:rPr>
                <w:rFonts w:ascii="Cambria Math" w:eastAsiaTheme="minorEastAsia" w:hAnsi="Cambria Math"/>
              </w:rPr>
              <m:t>SO</m:t>
            </m:r>
          </m:e>
          <m:sub>
            <m:r>
              <m:rPr>
                <m:sty m:val="p"/>
              </m:rPr>
              <w:rPr>
                <w:rFonts w:ascii="Cambria Math" w:eastAsiaTheme="minorEastAsia" w:hAnsi="Cambria Math"/>
              </w:rPr>
              <m:t>3(aq)</m:t>
            </m:r>
          </m:sub>
          <m:sup>
            <m:r>
              <m:rPr>
                <m:sty m:val="p"/>
              </m:rPr>
              <w:rPr>
                <w:rFonts w:ascii="Cambria Math" w:eastAsiaTheme="minorEastAsia" w:hAnsi="Cambria Math"/>
              </w:rPr>
              <m:t>2-</m:t>
            </m:r>
          </m:sup>
        </m:sSubSup>
      </m:oMath>
      <w:r w:rsidR="00AD1E3A" w:rsidRPr="00AD1E3A">
        <w:rPr>
          <w:rFonts w:eastAsiaTheme="minorEastAsia"/>
        </w:rPr>
        <w:t xml:space="preserve">  </w:t>
      </w:r>
    </w:p>
    <w:p w14:paraId="35339BB4" w14:textId="77777777" w:rsidR="00AD1E3A" w:rsidRPr="00AD1E3A" w:rsidRDefault="00AD1E3A" w:rsidP="00AD1E3A">
      <w:pPr>
        <w:tabs>
          <w:tab w:val="left" w:pos="1701"/>
          <w:tab w:val="left" w:pos="1985"/>
        </w:tabs>
        <w:ind w:left="2124" w:hanging="2124"/>
        <w:rPr>
          <w:rFonts w:eastAsiaTheme="minorEastAsia"/>
        </w:rPr>
      </w:pPr>
      <w:r>
        <w:rPr>
          <w:rFonts w:eastAsiaTheme="minorEastAsia"/>
        </w:rPr>
        <w:tab/>
      </w:r>
      <w:r>
        <w:rPr>
          <w:rFonts w:eastAsiaTheme="minorEastAsia"/>
        </w:rPr>
        <w:tab/>
      </w:r>
      <w:r w:rsidR="003B64EF">
        <w:rPr>
          <w:rFonts w:eastAsiaTheme="minorEastAsia"/>
        </w:rPr>
        <w:tab/>
      </w:r>
      <w:r w:rsidRPr="00AD1E3A">
        <w:rPr>
          <w:rFonts w:eastAsiaTheme="minorEastAsia"/>
        </w:rPr>
        <w:t xml:space="preserve">Die </w:t>
      </w:r>
      <m:oMath>
        <m:sSubSup>
          <m:sSubSupPr>
            <m:ctrlPr>
              <w:rPr>
                <w:rFonts w:ascii="Cambria Math" w:eastAsiaTheme="minorEastAsia" w:hAnsi="Cambria Math"/>
              </w:rPr>
            </m:ctrlPr>
          </m:sSubSupPr>
          <m:e>
            <m:r>
              <m:rPr>
                <m:sty m:val="p"/>
              </m:rPr>
              <w:rPr>
                <w:rFonts w:ascii="Cambria Math" w:eastAsiaTheme="minorEastAsia" w:hAnsi="Cambria Math"/>
              </w:rPr>
              <m:t>SO</m:t>
            </m:r>
          </m:e>
          <m:sub>
            <m:r>
              <m:rPr>
                <m:sty m:val="p"/>
              </m:rPr>
              <w:rPr>
                <w:rFonts w:ascii="Cambria Math" w:eastAsiaTheme="minorEastAsia" w:hAnsi="Cambria Math"/>
              </w:rPr>
              <m:t>3</m:t>
            </m:r>
          </m:sub>
          <m:sup>
            <m:r>
              <m:rPr>
                <m:sty m:val="p"/>
              </m:rPr>
              <w:rPr>
                <w:rFonts w:ascii="Cambria Math" w:eastAsiaTheme="minorEastAsia" w:hAnsi="Cambria Math"/>
              </w:rPr>
              <m:t>2-</m:t>
            </m:r>
          </m:sup>
        </m:sSubSup>
      </m:oMath>
      <w:r>
        <w:rPr>
          <w:rFonts w:eastAsiaTheme="minorEastAsia"/>
        </w:rPr>
        <w:t xml:space="preserve">-Ionen </w:t>
      </w:r>
      <w:r w:rsidR="00EC3ADA">
        <w:rPr>
          <w:rFonts w:eastAsiaTheme="minorEastAsia"/>
        </w:rPr>
        <w:t>werde</w:t>
      </w:r>
      <w:r w:rsidR="00F558E2">
        <w:rPr>
          <w:rFonts w:eastAsiaTheme="minorEastAsia"/>
        </w:rPr>
        <w:t>n</w:t>
      </w:r>
      <w:r w:rsidR="00EC3ADA">
        <w:rPr>
          <w:rFonts w:eastAsiaTheme="minorEastAsia"/>
        </w:rPr>
        <w:t xml:space="preserve"> </w:t>
      </w:r>
      <w:r>
        <w:rPr>
          <w:rFonts w:eastAsiaTheme="minorEastAsia"/>
        </w:rPr>
        <w:t xml:space="preserve"> als Sulfitionen</w:t>
      </w:r>
      <w:r w:rsidR="00EC3ADA">
        <w:rPr>
          <w:rFonts w:eastAsiaTheme="minorEastAsia"/>
        </w:rPr>
        <w:t xml:space="preserve"> bezeichnet</w:t>
      </w:r>
      <w:r>
        <w:rPr>
          <w:rFonts w:eastAsiaTheme="minorEastAsia"/>
        </w:rPr>
        <w:t xml:space="preserve">, </w:t>
      </w:r>
      <m:oMath>
        <m:r>
          <m:rPr>
            <m:sty m:val="p"/>
          </m:rPr>
          <w:rPr>
            <w:rFonts w:ascii="Cambria Math" w:eastAsiaTheme="minorEastAsia" w:hAnsi="Cambria Math"/>
          </w:rPr>
          <m:t>HS</m:t>
        </m:r>
        <m:sSubSup>
          <m:sSubSupPr>
            <m:ctrlPr>
              <w:rPr>
                <w:rFonts w:ascii="Cambria Math" w:eastAsiaTheme="minorEastAsia" w:hAnsi="Cambria Math"/>
              </w:rPr>
            </m:ctrlPr>
          </m:sSubSupPr>
          <m:e>
            <m:r>
              <m:rPr>
                <m:sty m:val="p"/>
              </m:rPr>
              <w:rPr>
                <w:rFonts w:ascii="Cambria Math" w:eastAsiaTheme="minorEastAsia" w:hAnsi="Cambria Math"/>
              </w:rPr>
              <m:t>O</m:t>
            </m:r>
          </m:e>
          <m:sub>
            <m:r>
              <m:rPr>
                <m:sty m:val="p"/>
              </m:rPr>
              <w:rPr>
                <w:rFonts w:ascii="Cambria Math" w:eastAsiaTheme="minorEastAsia" w:hAnsi="Cambria Math"/>
              </w:rPr>
              <m:t>3</m:t>
            </m:r>
          </m:sub>
          <m:sup>
            <m:r>
              <m:rPr>
                <m:sty m:val="p"/>
              </m:rPr>
              <w:rPr>
                <w:rFonts w:ascii="Cambria Math" w:eastAsiaTheme="minorEastAsia" w:hAnsi="Cambria Math"/>
              </w:rPr>
              <m:t>-</m:t>
            </m:r>
          </m:sup>
        </m:sSubSup>
      </m:oMath>
      <w:r w:rsidRPr="00AD1E3A">
        <w:rPr>
          <w:rFonts w:eastAsiaTheme="minorEastAsia"/>
        </w:rPr>
        <w:t>-Ionen als</w:t>
      </w:r>
      <w:r>
        <w:rPr>
          <w:rFonts w:eastAsiaTheme="minorEastAsia"/>
        </w:rPr>
        <w:t xml:space="preserve"> Hydrogensulfitionen.</w:t>
      </w:r>
    </w:p>
    <w:p w14:paraId="17E90DDA" w14:textId="77777777" w:rsidR="000C6438" w:rsidRDefault="000C6438" w:rsidP="000C6438">
      <w:pPr>
        <w:spacing w:line="276" w:lineRule="auto"/>
        <w:ind w:left="2124" w:hanging="2124"/>
        <w:jc w:val="left"/>
      </w:pPr>
      <w:r>
        <w:t>Entsorgung:</w:t>
      </w:r>
      <w:r w:rsidR="003B64EF">
        <w:tab/>
      </w:r>
      <w:r>
        <w:t>Die entstandene schweflige Säure kann mit Natronlauge neutralisiert und im Anschluss im Abfluss entsorgt werden.</w:t>
      </w:r>
    </w:p>
    <w:p w14:paraId="62C52648" w14:textId="77777777" w:rsidR="00011533" w:rsidRPr="005B60E3" w:rsidRDefault="000C6438" w:rsidP="000C6438">
      <w:pPr>
        <w:spacing w:line="276" w:lineRule="auto"/>
        <w:ind w:left="2124" w:hanging="2124"/>
        <w:jc w:val="left"/>
        <w:rPr>
          <w:rFonts w:asciiTheme="majorHAnsi" w:eastAsiaTheme="majorEastAsia" w:hAnsiTheme="majorHAnsi" w:cstheme="majorBidi"/>
          <w:b/>
          <w:bCs/>
          <w:sz w:val="28"/>
          <w:szCs w:val="28"/>
        </w:rPr>
      </w:pPr>
      <w:r>
        <w:t>Literatur:</w:t>
      </w:r>
      <w:r>
        <w:tab/>
      </w:r>
      <w:r>
        <w:rPr>
          <w:color w:val="auto"/>
        </w:rPr>
        <w:t>W. Eisner, R. Fladt, P. Gietz, A. Justus, K. Laitenberger, W. Schierle, Elemente Chemie I – Unterrichtswerk für Gymnasium, Ernst Klett Verlag, 1986, S. 170.</w:t>
      </w:r>
    </w:p>
    <w:p w14:paraId="405A79F0" w14:textId="77777777" w:rsidR="00011533" w:rsidRPr="006E32AF" w:rsidRDefault="00011533" w:rsidP="00011533">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DA16826" wp14:editId="54252F61">
                <wp:extent cx="5873115" cy="1932317"/>
                <wp:effectExtent l="0" t="0" r="13335" b="1079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3231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033E3B" w14:textId="77777777" w:rsidR="00011533" w:rsidRDefault="00BA5BDE" w:rsidP="00011533">
                            <w:pPr>
                              <w:rPr>
                                <w:color w:val="auto"/>
                              </w:rPr>
                            </w:pPr>
                            <w:r w:rsidRPr="00BA5BDE">
                              <w:rPr>
                                <w:color w:val="auto"/>
                              </w:rPr>
                              <w:t>Dieser Versuch eignet sich sehr gut um die Beobachtungen von Lavo</w:t>
                            </w:r>
                            <w:r w:rsidR="003B64EF">
                              <w:rPr>
                                <w:color w:val="auto"/>
                              </w:rPr>
                              <w:t>i</w:t>
                            </w:r>
                            <w:r w:rsidRPr="00BA5BDE">
                              <w:rPr>
                                <w:color w:val="auto"/>
                              </w:rPr>
                              <w:t xml:space="preserve">sier zu bestätigen. </w:t>
                            </w:r>
                            <w:r>
                              <w:rPr>
                                <w:color w:val="auto"/>
                              </w:rPr>
                              <w:t xml:space="preserve"> Falls statt dem Universalindikator Lackmus verwendet wird</w:t>
                            </w:r>
                            <w:r w:rsidR="00743083">
                              <w:rPr>
                                <w:color w:val="auto"/>
                              </w:rPr>
                              <w:t>, muss</w:t>
                            </w:r>
                            <w:r w:rsidRPr="00BA5BDE">
                              <w:rPr>
                                <w:color w:val="auto"/>
                              </w:rPr>
                              <w:t xml:space="preserve"> beachtet werden, dass Lackmus im Verdacht steht eine krebserregende Wirkung zu haben, sodass dieses Experiment nur als Lehrerde</w:t>
                            </w:r>
                            <w:r>
                              <w:rPr>
                                <w:color w:val="auto"/>
                              </w:rPr>
                              <w:t>m</w:t>
                            </w:r>
                            <w:r w:rsidRPr="00BA5BDE">
                              <w:rPr>
                                <w:color w:val="auto"/>
                              </w:rPr>
                              <w:t>onstrationsexperiment durchgeführt werden sollte.</w:t>
                            </w:r>
                            <w:r>
                              <w:rPr>
                                <w:color w:val="auto"/>
                              </w:rPr>
                              <w:t xml:space="preserve"> </w:t>
                            </w:r>
                          </w:p>
                          <w:p w14:paraId="167725F8" w14:textId="77777777" w:rsidR="00BA5BDE" w:rsidRPr="00BA5BDE" w:rsidRDefault="00BA5BDE" w:rsidP="00011533">
                            <w:pPr>
                              <w:rPr>
                                <w:color w:val="auto"/>
                              </w:rPr>
                            </w:pPr>
                            <w:r>
                              <w:rPr>
                                <w:color w:val="auto"/>
                              </w:rPr>
                              <w:t xml:space="preserve">Die größte Schwierigkeit liegt in diesem Versuch darin eine neutrale Lösung </w:t>
                            </w:r>
                            <w:r w:rsidR="00355E63">
                              <w:rPr>
                                <w:color w:val="auto"/>
                              </w:rPr>
                              <w:t>im Standzylinder vorzulegen, damit sich der Universalindikator grün färbt. Der Vorteil von Lackmus ist hierbei, dass er weniger empfindlich reagiert.</w:t>
                            </w:r>
                          </w:p>
                        </w:txbxContent>
                      </wps:txbx>
                      <wps:bodyPr rot="0" vert="horz" wrap="square" lIns="91440" tIns="45720" rIns="91440" bIns="45720" anchor="t" anchorCtr="0" upright="1">
                        <a:noAutofit/>
                      </wps:bodyPr>
                    </wps:wsp>
                  </a:graphicData>
                </a:graphic>
              </wp:inline>
            </w:drawing>
          </mc:Choice>
          <mc:Fallback>
            <w:pict>
              <v:shape w14:anchorId="1DA16826" id="Textfeld 2" o:spid="_x0000_s1030" type="#_x0000_t202" style="width:462.45pt;height:15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1u7wIAADEGAAAOAAAAZHJzL2Uyb0RvYy54bWysVNuO2jAQfa/Uf7D8zuZCIG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" fillcolor="white [3201]" strokecolor="#c0504d [3205]" strokeweight="1pt">
                <v:stroke dashstyle="dash"/>
                <v:shadow color="#868686"/>
                <v:textbox>
                  <w:txbxContent>
                    <w:p w14:paraId="0B033E3B" w14:textId="77777777" w:rsidR="00011533" w:rsidRDefault="00BA5BDE" w:rsidP="00011533">
                      <w:pPr>
                        <w:rPr>
                          <w:color w:val="auto"/>
                        </w:rPr>
                      </w:pPr>
                      <w:r w:rsidRPr="00BA5BDE">
                        <w:rPr>
                          <w:color w:val="auto"/>
                        </w:rPr>
                        <w:t>Dieser Versuch eignet sich sehr gut um die Beobachtungen von Lavo</w:t>
                      </w:r>
                      <w:r w:rsidR="003B64EF">
                        <w:rPr>
                          <w:color w:val="auto"/>
                        </w:rPr>
                        <w:t>i</w:t>
                      </w:r>
                      <w:r w:rsidRPr="00BA5BDE">
                        <w:rPr>
                          <w:color w:val="auto"/>
                        </w:rPr>
                        <w:t xml:space="preserve">sier zu bestätigen. </w:t>
                      </w:r>
                      <w:r>
                        <w:rPr>
                          <w:color w:val="auto"/>
                        </w:rPr>
                        <w:t xml:space="preserve"> Falls statt dem Universalindikator Lackmus verwendet wird</w:t>
                      </w:r>
                      <w:r w:rsidR="00743083">
                        <w:rPr>
                          <w:color w:val="auto"/>
                        </w:rPr>
                        <w:t>, muss</w:t>
                      </w:r>
                      <w:r w:rsidRPr="00BA5BDE">
                        <w:rPr>
                          <w:color w:val="auto"/>
                        </w:rPr>
                        <w:t xml:space="preserve"> beachtet werden, dass Lackmus im Verdacht steht eine krebserregende Wirkung zu haben, sodass dieses Experiment nur als Lehrerde</w:t>
                      </w:r>
                      <w:r>
                        <w:rPr>
                          <w:color w:val="auto"/>
                        </w:rPr>
                        <w:t>m</w:t>
                      </w:r>
                      <w:r w:rsidRPr="00BA5BDE">
                        <w:rPr>
                          <w:color w:val="auto"/>
                        </w:rPr>
                        <w:t>onstrationsexperiment durchgeführt werden sollte.</w:t>
                      </w:r>
                      <w:r>
                        <w:rPr>
                          <w:color w:val="auto"/>
                        </w:rPr>
                        <w:t xml:space="preserve"> </w:t>
                      </w:r>
                    </w:p>
                    <w:p w14:paraId="167725F8" w14:textId="77777777" w:rsidR="00BA5BDE" w:rsidRPr="00BA5BDE" w:rsidRDefault="00BA5BDE" w:rsidP="00011533">
                      <w:pPr>
                        <w:rPr>
                          <w:color w:val="auto"/>
                        </w:rPr>
                      </w:pPr>
                      <w:r>
                        <w:rPr>
                          <w:color w:val="auto"/>
                        </w:rPr>
                        <w:t xml:space="preserve">Die größte Schwierigkeit liegt in diesem Versuch darin eine neutrale Lösung </w:t>
                      </w:r>
                      <w:r w:rsidR="00355E63">
                        <w:rPr>
                          <w:color w:val="auto"/>
                        </w:rPr>
                        <w:t>im Standzylinder vorzulegen, damit sich der Universalindikator grün färbt. Der Vorteil von Lackmus ist hierbei, dass er weniger empfindlich reagiert.</w:t>
                      </w:r>
                    </w:p>
                  </w:txbxContent>
                </v:textbox>
                <w10:anchorlock/>
              </v:shape>
            </w:pict>
          </mc:Fallback>
        </mc:AlternateContent>
      </w:r>
    </w:p>
    <w:p w14:paraId="6A04C799" w14:textId="77777777" w:rsidR="00336043" w:rsidRDefault="00336043">
      <w:pPr>
        <w:spacing w:line="276" w:lineRule="auto"/>
        <w:jc w:val="left"/>
        <w:rPr>
          <w:rFonts w:asciiTheme="majorHAnsi" w:eastAsiaTheme="majorEastAsia" w:hAnsiTheme="majorHAnsi" w:cstheme="majorBidi"/>
          <w:b/>
          <w:bCs/>
          <w:color w:val="365F91" w:themeColor="accent1" w:themeShade="BF"/>
          <w:sz w:val="28"/>
          <w:szCs w:val="28"/>
        </w:rPr>
      </w:pPr>
      <w:r>
        <w:br w:type="page"/>
      </w:r>
    </w:p>
    <w:bookmarkStart w:id="6" w:name="_Toc426996039"/>
    <w:p w14:paraId="546A297F" w14:textId="77777777" w:rsidR="00011533" w:rsidRDefault="00C62266" w:rsidP="00011533">
      <w:pPr>
        <w:pStyle w:val="berschrift1"/>
        <w:numPr>
          <w:ilvl w:val="0"/>
          <w:numId w:val="1"/>
        </w:numPr>
        <w:spacing w:before="360" w:after="240"/>
      </w:pPr>
      <w:r>
        <w:rPr>
          <w:noProof/>
          <w:lang w:eastAsia="de-DE"/>
        </w:rPr>
        <w:lastRenderedPageBreak/>
        <mc:AlternateContent>
          <mc:Choice Requires="wps">
            <w:drawing>
              <wp:anchor distT="0" distB="0" distL="114300" distR="114300" simplePos="0" relativeHeight="251677696" behindDoc="0" locked="0" layoutInCell="1" allowOverlap="1" wp14:anchorId="31977135" wp14:editId="19DED759">
                <wp:simplePos x="0" y="0"/>
                <wp:positionH relativeFrom="column">
                  <wp:posOffset>-50165</wp:posOffset>
                </wp:positionH>
                <wp:positionV relativeFrom="paragraph">
                  <wp:posOffset>713105</wp:posOffset>
                </wp:positionV>
                <wp:extent cx="5873115" cy="796925"/>
                <wp:effectExtent l="0" t="0" r="13335" b="22225"/>
                <wp:wrapSquare wrapText="bothSides"/>
                <wp:docPr id="49"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EE1418" w14:textId="77777777" w:rsidR="00C62266" w:rsidRPr="00F31EBF" w:rsidRDefault="00C62266" w:rsidP="00C62266">
                            <w:pPr>
                              <w:rPr>
                                <w:color w:val="auto"/>
                              </w:rPr>
                            </w:pPr>
                            <w:r>
                              <w:rPr>
                                <w:color w:val="auto"/>
                              </w:rPr>
                              <w:t>Dieser Versuch zeigt den SuS, dass zwischen der Stärke einer</w:t>
                            </w:r>
                            <w:r w:rsidR="00EC3ADA">
                              <w:rPr>
                                <w:color w:val="auto"/>
                              </w:rPr>
                              <w:t xml:space="preserve"> Säure unterschieden werden kann</w:t>
                            </w:r>
                            <w:r>
                              <w:rPr>
                                <w:color w:val="auto"/>
                              </w:rPr>
                              <w:t>. Es wird vorausgesetzt, dass bereits das Säure-Base-Konzept nach Arrhenius behandelt worden ist und auch die elektrolytische Dissoziation besprochen wurde.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77135" id="Textfeld 49" o:spid="_x0000_s1031" type="#_x0000_t202" style="position:absolute;left:0;text-align:left;margin-left:-3.95pt;margin-top:56.15pt;width:462.45pt;height:6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Lu8QIAADI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" fillcolor="white [3201]" strokecolor="#4bacc6 [3208]" strokeweight="1pt">
                <v:stroke dashstyle="dash"/>
                <v:shadow color="#868686"/>
                <v:textbox>
                  <w:txbxContent>
                    <w:p w14:paraId="16EE1418" w14:textId="77777777" w:rsidR="00C62266" w:rsidRPr="00F31EBF" w:rsidRDefault="00C62266" w:rsidP="00C62266">
                      <w:pPr>
                        <w:rPr>
                          <w:color w:val="auto"/>
                        </w:rPr>
                      </w:pPr>
                      <w:r>
                        <w:rPr>
                          <w:color w:val="auto"/>
                        </w:rPr>
                        <w:t>Dieser Versuch zeigt den SuS, dass zwischen der Stärke einer</w:t>
                      </w:r>
                      <w:r w:rsidR="00EC3ADA">
                        <w:rPr>
                          <w:color w:val="auto"/>
                        </w:rPr>
                        <w:t xml:space="preserve"> Säure unterschieden werden kann</w:t>
                      </w:r>
                      <w:r>
                        <w:rPr>
                          <w:color w:val="auto"/>
                        </w:rPr>
                        <w:t>. Es wird vorausgesetzt, dass bereits das Säure-Base-Konzept nach Arrhenius behandelt worden ist und auch die elektrolytische Dissoziation besprochen wurde.</w:t>
                      </w:r>
                    </w:p>
                  </w:txbxContent>
                </v:textbox>
                <w10:wrap type="square"/>
              </v:shape>
            </w:pict>
          </mc:Fallback>
        </mc:AlternateContent>
      </w:r>
      <w:r w:rsidR="00011533">
        <w:t>Schülerversuch</w:t>
      </w:r>
      <w:r w:rsidR="00BF023E">
        <w:t xml:space="preserve"> – Leitfähigkeit von </w:t>
      </w:r>
      <w:r w:rsidR="00496ACF">
        <w:t>sauren Lösungen</w:t>
      </w:r>
      <w:bookmarkEnd w:id="6"/>
    </w:p>
    <w:p w14:paraId="07C6E314" w14:textId="77777777" w:rsidR="00C62266" w:rsidRPr="00C62266" w:rsidRDefault="00C62266" w:rsidP="00C62266"/>
    <w:tbl>
      <w:tblPr>
        <w:tblStyle w:val="HelleListe-Akzent1"/>
        <w:tblW w:w="9322" w:type="dxa"/>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62266" w:rsidRPr="00EC3ADA" w14:paraId="1178762A" w14:textId="77777777" w:rsidTr="00EC3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gridSpan w:val="9"/>
          </w:tcPr>
          <w:p w14:paraId="740225FE" w14:textId="77777777" w:rsidR="00C62266" w:rsidRPr="00EC3ADA" w:rsidRDefault="00C62266" w:rsidP="00027AFB">
            <w:pPr>
              <w:jc w:val="center"/>
              <w:rPr>
                <w:b w:val="0"/>
                <w:bCs w:val="0"/>
                <w:color w:val="FFFFFF" w:themeColor="background1"/>
              </w:rPr>
            </w:pPr>
            <w:r w:rsidRPr="00EC3ADA">
              <w:rPr>
                <w:b w:val="0"/>
                <w:color w:val="FFFFFF" w:themeColor="background1"/>
              </w:rPr>
              <w:t>Gefahrenstoffe</w:t>
            </w:r>
          </w:p>
        </w:tc>
      </w:tr>
      <w:tr w:rsidR="00C62266" w:rsidRPr="00EC3ADA" w14:paraId="532F10A8" w14:textId="77777777" w:rsidTr="00EC3AD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3027" w:type="dxa"/>
            <w:gridSpan w:val="3"/>
          </w:tcPr>
          <w:p w14:paraId="5559EA85" w14:textId="77777777" w:rsidR="00C62266" w:rsidRPr="00EC3ADA" w:rsidRDefault="00C62266" w:rsidP="00027AFB">
            <w:pPr>
              <w:spacing w:line="276" w:lineRule="auto"/>
              <w:jc w:val="center"/>
              <w:rPr>
                <w:b w:val="0"/>
                <w:bCs w:val="0"/>
                <w:sz w:val="20"/>
                <w:szCs w:val="20"/>
              </w:rPr>
            </w:pPr>
            <w:r w:rsidRPr="00EC3ADA">
              <w:rPr>
                <w:b w:val="0"/>
                <w:sz w:val="20"/>
                <w:szCs w:val="20"/>
              </w:rPr>
              <w:t>Essigsäure (c=0,1 mol/L)</w:t>
            </w:r>
          </w:p>
        </w:tc>
        <w:tc>
          <w:tcPr>
            <w:tcW w:w="3177" w:type="dxa"/>
            <w:gridSpan w:val="3"/>
          </w:tcPr>
          <w:p w14:paraId="7586D22B" w14:textId="77777777" w:rsidR="00C62266" w:rsidRPr="00EC3ADA" w:rsidRDefault="00C62266" w:rsidP="00027AF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3ADA">
              <w:rPr>
                <w:sz w:val="20"/>
                <w:szCs w:val="20"/>
              </w:rPr>
              <w:t>H: -</w:t>
            </w:r>
          </w:p>
        </w:tc>
        <w:tc>
          <w:tcPr>
            <w:tcW w:w="3118" w:type="dxa"/>
            <w:gridSpan w:val="3"/>
          </w:tcPr>
          <w:p w14:paraId="5039C45D" w14:textId="77777777" w:rsidR="00C62266" w:rsidRPr="00EC3ADA" w:rsidRDefault="00C62266" w:rsidP="00027AFB">
            <w:pPr>
              <w:jc w:val="center"/>
              <w:cnfStyle w:val="000000100000" w:firstRow="0" w:lastRow="0" w:firstColumn="0" w:lastColumn="0" w:oddVBand="0" w:evenVBand="0" w:oddHBand="1" w:evenHBand="0" w:firstRowFirstColumn="0" w:firstRowLastColumn="0" w:lastRowFirstColumn="0" w:lastRowLastColumn="0"/>
              <w:rPr>
                <w:sz w:val="20"/>
                <w:szCs w:val="20"/>
              </w:rPr>
            </w:pPr>
            <w:r w:rsidRPr="00EC3ADA">
              <w:rPr>
                <w:sz w:val="20"/>
                <w:szCs w:val="20"/>
              </w:rPr>
              <w:t>P: -</w:t>
            </w:r>
          </w:p>
        </w:tc>
      </w:tr>
      <w:tr w:rsidR="00C62266" w:rsidRPr="00EC3ADA" w14:paraId="09526E0D" w14:textId="77777777" w:rsidTr="00EC3ADA">
        <w:trPr>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4F9ED3F3" w14:textId="77777777" w:rsidR="00C62266" w:rsidRPr="00EC3ADA" w:rsidRDefault="00C62266" w:rsidP="00027AFB">
            <w:pPr>
              <w:spacing w:line="276" w:lineRule="auto"/>
              <w:jc w:val="center"/>
              <w:rPr>
                <w:b w:val="0"/>
                <w:bCs w:val="0"/>
                <w:sz w:val="20"/>
                <w:szCs w:val="20"/>
              </w:rPr>
            </w:pPr>
            <w:r w:rsidRPr="00EC3ADA">
              <w:rPr>
                <w:b w:val="0"/>
                <w:color w:val="auto"/>
                <w:sz w:val="20"/>
                <w:szCs w:val="20"/>
              </w:rPr>
              <w:t>Salzsäure (c=0,1 mol/L)</w:t>
            </w:r>
          </w:p>
        </w:tc>
        <w:tc>
          <w:tcPr>
            <w:tcW w:w="3177" w:type="dxa"/>
            <w:gridSpan w:val="3"/>
          </w:tcPr>
          <w:p w14:paraId="1B35DFBB" w14:textId="77777777" w:rsidR="00C62266" w:rsidRPr="00EC3ADA" w:rsidRDefault="00C62266" w:rsidP="00027AFB">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EC3ADA">
              <w:rPr>
                <w:sz w:val="20"/>
                <w:szCs w:val="20"/>
              </w:rPr>
              <w:t>H: 290</w:t>
            </w:r>
          </w:p>
        </w:tc>
        <w:tc>
          <w:tcPr>
            <w:tcW w:w="3118" w:type="dxa"/>
            <w:gridSpan w:val="3"/>
          </w:tcPr>
          <w:p w14:paraId="7CD4C339" w14:textId="77777777" w:rsidR="00C62266" w:rsidRPr="00EC3ADA" w:rsidRDefault="00C62266" w:rsidP="00C62266">
            <w:pPr>
              <w:pStyle w:val="Beschriftung"/>
              <w:jc w:val="center"/>
              <w:cnfStyle w:val="000000000000" w:firstRow="0" w:lastRow="0" w:firstColumn="0" w:lastColumn="0" w:oddVBand="0" w:evenVBand="0" w:oddHBand="0" w:evenHBand="0" w:firstRowFirstColumn="0" w:firstRowLastColumn="0" w:lastRowFirstColumn="0" w:lastRowLastColumn="0"/>
              <w:rPr>
                <w:sz w:val="20"/>
                <w:szCs w:val="20"/>
              </w:rPr>
            </w:pPr>
            <w:r w:rsidRPr="00EC3ADA">
              <w:rPr>
                <w:sz w:val="20"/>
                <w:szCs w:val="20"/>
              </w:rPr>
              <w:t>P: -</w:t>
            </w:r>
          </w:p>
        </w:tc>
      </w:tr>
      <w:tr w:rsidR="00C62266" w:rsidRPr="00EC3ADA" w14:paraId="20AF96E7" w14:textId="77777777" w:rsidTr="00EC3AD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027" w:type="dxa"/>
            <w:gridSpan w:val="3"/>
          </w:tcPr>
          <w:p w14:paraId="3A54A471" w14:textId="77777777" w:rsidR="00C62266" w:rsidRPr="00EC3ADA" w:rsidRDefault="00C62266" w:rsidP="00027AFB">
            <w:pPr>
              <w:spacing w:line="276" w:lineRule="auto"/>
              <w:jc w:val="center"/>
              <w:rPr>
                <w:b w:val="0"/>
                <w:color w:val="auto"/>
                <w:sz w:val="20"/>
                <w:szCs w:val="20"/>
              </w:rPr>
            </w:pPr>
            <w:r w:rsidRPr="00EC3ADA">
              <w:rPr>
                <w:b w:val="0"/>
                <w:color w:val="auto"/>
                <w:sz w:val="20"/>
                <w:szCs w:val="20"/>
              </w:rPr>
              <w:t>Universalindikator</w:t>
            </w:r>
          </w:p>
        </w:tc>
        <w:tc>
          <w:tcPr>
            <w:tcW w:w="3177" w:type="dxa"/>
            <w:gridSpan w:val="3"/>
          </w:tcPr>
          <w:p w14:paraId="5C3553F9" w14:textId="77777777" w:rsidR="00C62266" w:rsidRPr="00EC3ADA" w:rsidRDefault="00C62266" w:rsidP="00027AFB">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EC3ADA">
              <w:rPr>
                <w:sz w:val="20"/>
                <w:szCs w:val="20"/>
              </w:rPr>
              <w:t>H: 225</w:t>
            </w:r>
          </w:p>
        </w:tc>
        <w:tc>
          <w:tcPr>
            <w:tcW w:w="3118" w:type="dxa"/>
            <w:gridSpan w:val="3"/>
          </w:tcPr>
          <w:p w14:paraId="04E357E5" w14:textId="77777777" w:rsidR="00C62266" w:rsidRPr="00EC3ADA" w:rsidRDefault="00C62266" w:rsidP="00027AFB">
            <w:pPr>
              <w:pStyle w:val="Beschriftung"/>
              <w:jc w:val="center"/>
              <w:cnfStyle w:val="000000100000" w:firstRow="0" w:lastRow="0" w:firstColumn="0" w:lastColumn="0" w:oddVBand="0" w:evenVBand="0" w:oddHBand="1" w:evenHBand="0" w:firstRowFirstColumn="0" w:firstRowLastColumn="0" w:lastRowFirstColumn="0" w:lastRowLastColumn="0"/>
              <w:rPr>
                <w:sz w:val="20"/>
                <w:szCs w:val="20"/>
              </w:rPr>
            </w:pPr>
            <w:r w:rsidRPr="00EC3ADA">
              <w:rPr>
                <w:sz w:val="20"/>
                <w:szCs w:val="20"/>
              </w:rPr>
              <w:t>P: 210, 233, 370+378a, 403+235</w:t>
            </w:r>
          </w:p>
        </w:tc>
      </w:tr>
      <w:tr w:rsidR="00C62266" w:rsidRPr="00EC3ADA" w14:paraId="194B6B42" w14:textId="77777777" w:rsidTr="00EC3ADA">
        <w:tc>
          <w:tcPr>
            <w:cnfStyle w:val="001000000000" w:firstRow="0" w:lastRow="0" w:firstColumn="1" w:lastColumn="0" w:oddVBand="0" w:evenVBand="0" w:oddHBand="0" w:evenHBand="0" w:firstRowFirstColumn="0" w:firstRowLastColumn="0" w:lastRowFirstColumn="0" w:lastRowLastColumn="0"/>
            <w:tcW w:w="1009" w:type="dxa"/>
          </w:tcPr>
          <w:p w14:paraId="0B3CE3ED" w14:textId="77777777" w:rsidR="00C62266" w:rsidRPr="00EC3ADA" w:rsidRDefault="00C62266" w:rsidP="00027AFB">
            <w:pPr>
              <w:jc w:val="center"/>
              <w:rPr>
                <w:b w:val="0"/>
                <w:bCs w:val="0"/>
              </w:rPr>
            </w:pPr>
            <w:r w:rsidRPr="00EC3ADA">
              <w:rPr>
                <w:noProof/>
                <w:lang w:eastAsia="de-DE"/>
              </w:rPr>
              <w:drawing>
                <wp:inline distT="0" distB="0" distL="0" distR="0" wp14:anchorId="14F823B0" wp14:editId="0E7DCCD0">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14:paraId="3A00C3EE" w14:textId="77777777" w:rsidR="00C62266" w:rsidRPr="00EC3ADA" w:rsidRDefault="00C62266"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0B27120B" wp14:editId="74EBF899">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Pr>
          <w:p w14:paraId="4A694A37" w14:textId="77777777" w:rsidR="00C62266" w:rsidRPr="00EC3ADA" w:rsidRDefault="00C62266"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1BAD0629" wp14:editId="57D2210B">
                  <wp:extent cx="491705" cy="491705"/>
                  <wp:effectExtent l="0" t="0" r="3810" b="3810"/>
                  <wp:docPr id="50" name="Grafik 50" descr="C:\Users\Annika\Desktop\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esktop\SVP\Piktogramme\Brennbar.pn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499002" cy="499002"/>
                          </a:xfrm>
                          <a:prstGeom prst="rect">
                            <a:avLst/>
                          </a:prstGeom>
                          <a:noFill/>
                          <a:ln>
                            <a:noFill/>
                          </a:ln>
                        </pic:spPr>
                      </pic:pic>
                    </a:graphicData>
                  </a:graphic>
                </wp:inline>
              </w:drawing>
            </w:r>
          </w:p>
        </w:tc>
        <w:tc>
          <w:tcPr>
            <w:tcW w:w="1009" w:type="dxa"/>
          </w:tcPr>
          <w:p w14:paraId="44510821" w14:textId="77777777" w:rsidR="00C62266" w:rsidRPr="00EC3ADA" w:rsidRDefault="00C62266"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334A8E25" wp14:editId="4E3BF18A">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Pr>
          <w:p w14:paraId="73B1C642" w14:textId="77777777" w:rsidR="00C62266" w:rsidRPr="00EC3ADA" w:rsidRDefault="00C62266"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6CAE1BA3" wp14:editId="6E673A9E">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Pr>
          <w:p w14:paraId="060FBDE1" w14:textId="77777777" w:rsidR="00C62266" w:rsidRPr="00EC3ADA" w:rsidRDefault="006C2DDC"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0940A9BA" wp14:editId="10BBEE75">
                  <wp:extent cx="526211" cy="526211"/>
                  <wp:effectExtent l="0" t="0" r="7620" b="7620"/>
                  <wp:docPr id="51" name="Grafik 51" descr="C:\Users\Annika\Desktop\SVP\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ika\Desktop\SVP\Piktogramme\Grau\Gesundheitsgefahr.pn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526271" cy="526271"/>
                          </a:xfrm>
                          <a:prstGeom prst="rect">
                            <a:avLst/>
                          </a:prstGeom>
                          <a:noFill/>
                          <a:ln>
                            <a:noFill/>
                          </a:ln>
                        </pic:spPr>
                      </pic:pic>
                    </a:graphicData>
                  </a:graphic>
                </wp:inline>
              </w:drawing>
            </w:r>
          </w:p>
        </w:tc>
        <w:tc>
          <w:tcPr>
            <w:tcW w:w="975" w:type="dxa"/>
          </w:tcPr>
          <w:p w14:paraId="24F4036F" w14:textId="77777777" w:rsidR="00C62266" w:rsidRPr="00EC3ADA" w:rsidRDefault="006C2DDC"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14B7C697" wp14:editId="694A384A">
                  <wp:extent cx="508959" cy="508959"/>
                  <wp:effectExtent l="0" t="0" r="5715" b="5715"/>
                  <wp:docPr id="52" name="Grafik 52" descr="C:\Users\Annika\Desktop\SVP\Piktogramme\Grau\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ika\Desktop\SVP\Piktogramme\Grau\Giftig.pn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509017" cy="509017"/>
                          </a:xfrm>
                          <a:prstGeom prst="rect">
                            <a:avLst/>
                          </a:prstGeom>
                          <a:noFill/>
                          <a:ln>
                            <a:noFill/>
                          </a:ln>
                        </pic:spPr>
                      </pic:pic>
                    </a:graphicData>
                  </a:graphic>
                </wp:inline>
              </w:drawing>
            </w:r>
          </w:p>
        </w:tc>
        <w:tc>
          <w:tcPr>
            <w:tcW w:w="1009" w:type="dxa"/>
          </w:tcPr>
          <w:p w14:paraId="4034709F" w14:textId="77777777" w:rsidR="00C62266" w:rsidRPr="00EC3ADA" w:rsidRDefault="006C2DDC"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5F5E59E1" wp14:editId="41AAF543">
                  <wp:extent cx="534838" cy="534838"/>
                  <wp:effectExtent l="0" t="0" r="0" b="0"/>
                  <wp:docPr id="53" name="Grafik 53"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nika\Desktop\SVP\Piktogramme\Grau\Reizend.pn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534898" cy="534898"/>
                          </a:xfrm>
                          <a:prstGeom prst="rect">
                            <a:avLst/>
                          </a:prstGeom>
                          <a:noFill/>
                          <a:ln>
                            <a:noFill/>
                          </a:ln>
                        </pic:spPr>
                      </pic:pic>
                    </a:graphicData>
                  </a:graphic>
                </wp:inline>
              </w:drawing>
            </w:r>
          </w:p>
        </w:tc>
        <w:tc>
          <w:tcPr>
            <w:tcW w:w="1134" w:type="dxa"/>
          </w:tcPr>
          <w:p w14:paraId="36D15F8D" w14:textId="77777777" w:rsidR="00C62266" w:rsidRPr="00EC3ADA" w:rsidRDefault="000E23F6" w:rsidP="00027AFB">
            <w:pPr>
              <w:jc w:val="center"/>
              <w:cnfStyle w:val="000000000000" w:firstRow="0" w:lastRow="0" w:firstColumn="0" w:lastColumn="0" w:oddVBand="0" w:evenVBand="0" w:oddHBand="0" w:evenHBand="0" w:firstRowFirstColumn="0" w:firstRowLastColumn="0" w:lastRowFirstColumn="0" w:lastRowLastColumn="0"/>
            </w:pPr>
            <w:r w:rsidRPr="00EC3ADA">
              <w:rPr>
                <w:noProof/>
                <w:lang w:eastAsia="de-DE"/>
              </w:rPr>
              <w:drawing>
                <wp:inline distT="0" distB="0" distL="0" distR="0" wp14:anchorId="568FF417" wp14:editId="6B93EDA5">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7D5E7DF1" w14:textId="77777777" w:rsidR="00011533" w:rsidRDefault="00011533" w:rsidP="00011533">
      <w:pPr>
        <w:tabs>
          <w:tab w:val="left" w:pos="1701"/>
          <w:tab w:val="left" w:pos="1985"/>
        </w:tabs>
        <w:ind w:left="1980" w:hanging="1980"/>
        <w:rPr>
          <w:color w:val="1F497D" w:themeColor="text2"/>
        </w:rPr>
      </w:pPr>
    </w:p>
    <w:p w14:paraId="2D1284E2" w14:textId="77777777" w:rsidR="006C2DDC" w:rsidRDefault="006C2DDC" w:rsidP="006C2DDC">
      <w:pPr>
        <w:tabs>
          <w:tab w:val="left" w:pos="1701"/>
          <w:tab w:val="left" w:pos="1985"/>
        </w:tabs>
        <w:ind w:left="1980" w:hanging="1980"/>
      </w:pPr>
      <w:r>
        <w:t xml:space="preserve">Materialien: </w:t>
      </w:r>
      <w:r>
        <w:tab/>
      </w:r>
      <w:r>
        <w:tab/>
        <w:t>2 Multimeter, Kabel, Transformator, Leitfähigkeitsprüfer, Stativmaterial, 2 Bechergläser (100 mL), Becherglas (500 mL)</w:t>
      </w:r>
    </w:p>
    <w:p w14:paraId="3A808F2B" w14:textId="77777777" w:rsidR="006C2DDC" w:rsidRDefault="00EC3ADA" w:rsidP="006C2DDC">
      <w:pPr>
        <w:tabs>
          <w:tab w:val="left" w:pos="1701"/>
          <w:tab w:val="left" w:pos="1985"/>
        </w:tabs>
        <w:ind w:left="1980" w:hanging="1980"/>
      </w:pPr>
      <w:r>
        <w:rPr>
          <w:noProof/>
          <w:lang w:eastAsia="de-DE"/>
        </w:rPr>
        <w:drawing>
          <wp:anchor distT="0" distB="0" distL="114300" distR="114300" simplePos="0" relativeHeight="251694080" behindDoc="1" locked="0" layoutInCell="1" allowOverlap="1" wp14:anchorId="2510C43C" wp14:editId="0F44FDDA">
            <wp:simplePos x="0" y="0"/>
            <wp:positionH relativeFrom="column">
              <wp:posOffset>4076065</wp:posOffset>
            </wp:positionH>
            <wp:positionV relativeFrom="paragraph">
              <wp:posOffset>374650</wp:posOffset>
            </wp:positionV>
            <wp:extent cx="2390775" cy="2096135"/>
            <wp:effectExtent l="0" t="0" r="9525"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tfähigkeitsmessung.png"/>
                    <pic:cNvPicPr/>
                  </pic:nvPicPr>
                  <pic:blipFill>
                    <a:blip r:embed="rId26" cstate="print">
                      <a:extLst>
                        <a:ext uri="{28A0092B-C50C-407E-A947-70E740481C1C}">
                          <a14:useLocalDpi xmlns:a14="http://schemas.microsoft.com/office/drawing/2010/main"/>
                        </a:ext>
                      </a:extLst>
                    </a:blip>
                    <a:stretch>
                      <a:fillRect/>
                    </a:stretch>
                  </pic:blipFill>
                  <pic:spPr>
                    <a:xfrm>
                      <a:off x="0" y="0"/>
                      <a:ext cx="2390775" cy="2096135"/>
                    </a:xfrm>
                    <a:prstGeom prst="rect">
                      <a:avLst/>
                    </a:prstGeom>
                  </pic:spPr>
                </pic:pic>
              </a:graphicData>
            </a:graphic>
            <wp14:sizeRelH relativeFrom="page">
              <wp14:pctWidth>0</wp14:pctWidth>
            </wp14:sizeRelH>
            <wp14:sizeRelV relativeFrom="page">
              <wp14:pctHeight>0</wp14:pctHeight>
            </wp14:sizeRelV>
          </wp:anchor>
        </w:drawing>
      </w:r>
      <w:r w:rsidR="006C2DDC">
        <w:t>Chemikalien:</w:t>
      </w:r>
      <w:r w:rsidR="006C2DDC">
        <w:tab/>
      </w:r>
      <w:r w:rsidR="006C2DDC">
        <w:tab/>
        <w:t>destilliertes Wasser, 0,1 M Salzsäure, 0,1 M Essigsäure</w:t>
      </w:r>
    </w:p>
    <w:p w14:paraId="71013FE2" w14:textId="77777777" w:rsidR="00336043" w:rsidRDefault="00743083" w:rsidP="00EC3ADA">
      <w:pPr>
        <w:tabs>
          <w:tab w:val="left" w:pos="1701"/>
          <w:tab w:val="left" w:pos="1985"/>
        </w:tabs>
        <w:ind w:left="1980" w:hanging="1980"/>
      </w:pPr>
      <w:r>
        <w:t>Durchführung:</w:t>
      </w:r>
      <w:r>
        <w:tab/>
      </w:r>
      <w:r>
        <w:tab/>
      </w:r>
      <w:r w:rsidR="00336043">
        <w:t>Der Versuch wird gemäß Abb. 3 aufgebaut. Anschließend wird die elektrische Leitfähigkeit mittels Leitfähigkeitsprüfer gemessen, in dem dieser in die Lösung getaucht wird. Währenddessen wird die gemessene elektrische Stromstärke bei 5V Wechselspannung abgelesen.</w:t>
      </w:r>
    </w:p>
    <w:p w14:paraId="57FCA415" w14:textId="77777777" w:rsidR="00EC3ADA" w:rsidRDefault="00EC3ADA" w:rsidP="006C2DDC">
      <w:pPr>
        <w:tabs>
          <w:tab w:val="left" w:pos="1701"/>
          <w:tab w:val="left" w:pos="1985"/>
        </w:tabs>
        <w:ind w:left="1980" w:hanging="1980"/>
      </w:pPr>
      <w:r>
        <w:rPr>
          <w:noProof/>
          <w:lang w:eastAsia="de-DE"/>
        </w:rPr>
        <mc:AlternateContent>
          <mc:Choice Requires="wps">
            <w:drawing>
              <wp:anchor distT="0" distB="0" distL="114300" distR="114300" simplePos="0" relativeHeight="251680768" behindDoc="0" locked="0" layoutInCell="1" allowOverlap="1" wp14:anchorId="64CB55AE" wp14:editId="67A2EAF8">
                <wp:simplePos x="0" y="0"/>
                <wp:positionH relativeFrom="column">
                  <wp:posOffset>4197985</wp:posOffset>
                </wp:positionH>
                <wp:positionV relativeFrom="paragraph">
                  <wp:posOffset>335280</wp:posOffset>
                </wp:positionV>
                <wp:extent cx="2380615" cy="635"/>
                <wp:effectExtent l="0" t="0" r="635" b="5080"/>
                <wp:wrapTight wrapText="bothSides">
                  <wp:wrapPolygon edited="0">
                    <wp:start x="0" y="0"/>
                    <wp:lineTo x="0" y="20836"/>
                    <wp:lineTo x="21433" y="20836"/>
                    <wp:lineTo x="21433" y="0"/>
                    <wp:lineTo x="0" y="0"/>
                  </wp:wrapPolygon>
                </wp:wrapTight>
                <wp:docPr id="4" name="Textfeld 4"/>
                <wp:cNvGraphicFramePr/>
                <a:graphic xmlns:a="http://schemas.openxmlformats.org/drawingml/2006/main">
                  <a:graphicData uri="http://schemas.microsoft.com/office/word/2010/wordprocessingShape">
                    <wps:wsp>
                      <wps:cNvSpPr txBox="1"/>
                      <wps:spPr>
                        <a:xfrm>
                          <a:off x="0" y="0"/>
                          <a:ext cx="2380615" cy="635"/>
                        </a:xfrm>
                        <a:prstGeom prst="rect">
                          <a:avLst/>
                        </a:prstGeom>
                        <a:solidFill>
                          <a:prstClr val="white"/>
                        </a:solidFill>
                        <a:ln>
                          <a:noFill/>
                        </a:ln>
                        <a:effectLst/>
                      </wps:spPr>
                      <wps:txbx>
                        <w:txbxContent>
                          <w:p w14:paraId="0F89025A" w14:textId="77777777" w:rsidR="00336043" w:rsidRPr="00173045" w:rsidRDefault="00336043" w:rsidP="00336043">
                            <w:pPr>
                              <w:pStyle w:val="Beschriftung"/>
                              <w:rPr>
                                <w:noProof/>
                                <w:color w:val="1D1B11" w:themeColor="background2" w:themeShade="1A"/>
                              </w:rPr>
                            </w:pPr>
                            <w:r>
                              <w:t xml:space="preserve">Abbildung </w:t>
                            </w:r>
                            <w:fldSimple w:instr=" SEQ Abbildung \* ARABIC ">
                              <w:r w:rsidR="00EC3ADA">
                                <w:rPr>
                                  <w:noProof/>
                                </w:rPr>
                                <w:t>3</w:t>
                              </w:r>
                            </w:fldSimple>
                            <w:r>
                              <w:t xml:space="preserve"> schematischer Versuchsaufbau zur Messung der Leitfähigkeit verschiedener Säuren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CB55AE" id="Textfeld 4" o:spid="_x0000_s1032" type="#_x0000_t202" style="position:absolute;left:0;text-align:left;margin-left:330.55pt;margin-top:26.4pt;width:187.4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" stroked="f">
                <v:textbox style="mso-fit-shape-to-text:t" inset="0,0,0,0">
                  <w:txbxContent>
                    <w:p w14:paraId="0F89025A" w14:textId="77777777" w:rsidR="00336043" w:rsidRPr="00173045" w:rsidRDefault="00336043" w:rsidP="00336043">
                      <w:pPr>
                        <w:pStyle w:val="Beschriftung"/>
                        <w:rPr>
                          <w:noProof/>
                          <w:color w:val="1D1B11" w:themeColor="background2" w:themeShade="1A"/>
                        </w:rPr>
                      </w:pPr>
                      <w:r>
                        <w:t xml:space="preserve">Abbildung </w:t>
                      </w:r>
                      <w:r w:rsidR="00B55D17">
                        <w:fldChar w:fldCharType="begin"/>
                      </w:r>
                      <w:r w:rsidR="00B55D17">
                        <w:instrText xml:space="preserve"> SEQ Abbildung \* ARABIC </w:instrText>
                      </w:r>
                      <w:r w:rsidR="00B55D17">
                        <w:fldChar w:fldCharType="separate"/>
                      </w:r>
                      <w:r w:rsidR="00EC3ADA">
                        <w:rPr>
                          <w:noProof/>
                        </w:rPr>
                        <w:t>3</w:t>
                      </w:r>
                      <w:r w:rsidR="00B55D17">
                        <w:rPr>
                          <w:noProof/>
                        </w:rPr>
                        <w:fldChar w:fldCharType="end"/>
                      </w:r>
                      <w:r>
                        <w:t xml:space="preserve"> schematischer Versuchsaufbau zur Messung der Leitfähigkeit verschiedener Säuren</w:t>
                      </w:r>
                    </w:p>
                  </w:txbxContent>
                </v:textbox>
                <w10:wrap type="tight"/>
              </v:shape>
            </w:pict>
          </mc:Fallback>
        </mc:AlternateContent>
      </w:r>
    </w:p>
    <w:p w14:paraId="122F9186" w14:textId="77777777" w:rsidR="00EC3ADA" w:rsidRDefault="00EC3ADA" w:rsidP="006C2DDC">
      <w:pPr>
        <w:tabs>
          <w:tab w:val="left" w:pos="1701"/>
          <w:tab w:val="left" w:pos="1985"/>
        </w:tabs>
        <w:ind w:left="1980" w:hanging="1980"/>
      </w:pPr>
    </w:p>
    <w:p w14:paraId="45EE77A1" w14:textId="77777777" w:rsidR="00EC3ADA" w:rsidRDefault="00336043" w:rsidP="006C2DDC">
      <w:pPr>
        <w:tabs>
          <w:tab w:val="left" w:pos="1701"/>
          <w:tab w:val="left" w:pos="1985"/>
        </w:tabs>
        <w:ind w:left="1980" w:hanging="1980"/>
      </w:pPr>
      <w:r>
        <w:t>Beobachtung:</w:t>
      </w:r>
      <w:r>
        <w:tab/>
      </w:r>
      <w:r>
        <w:tab/>
        <w:t xml:space="preserve">Die elektrische Stromstärke in 0,1 M Salzsäure beträgt 120 mA und in 0,1 M Essigsäure 30 mA. </w:t>
      </w:r>
    </w:p>
    <w:p w14:paraId="68702CEF" w14:textId="77777777" w:rsidR="00EC3ADA" w:rsidRDefault="00336043" w:rsidP="00EC3ADA">
      <w:pPr>
        <w:tabs>
          <w:tab w:val="left" w:pos="1701"/>
          <w:tab w:val="left" w:pos="1985"/>
        </w:tabs>
        <w:ind w:left="1980" w:hanging="1980"/>
      </w:pPr>
      <w:r>
        <w:t>Deutung:</w:t>
      </w:r>
      <w:r>
        <w:tab/>
      </w:r>
      <w:r>
        <w:tab/>
      </w:r>
      <w:r w:rsidR="00EC3ADA">
        <w:t xml:space="preserve">Essigsäure leitet den elektrischen Strom schlechter als Salzsäure trotz gleicher Konzentrationen. </w:t>
      </w:r>
    </w:p>
    <w:p w14:paraId="3278B7AC" w14:textId="77777777" w:rsidR="00336043" w:rsidRDefault="00EC3ADA" w:rsidP="00EC3ADA">
      <w:pPr>
        <w:tabs>
          <w:tab w:val="left" w:pos="1701"/>
          <w:tab w:val="left" w:pos="1985"/>
        </w:tabs>
        <w:ind w:left="1980" w:hanging="1980"/>
      </w:pPr>
      <w:r>
        <w:tab/>
      </w:r>
      <w:r>
        <w:tab/>
      </w:r>
      <w:r w:rsidR="00336043">
        <w:t>Salzsäure</w:t>
      </w:r>
      <w:r w:rsidR="00E86BEC">
        <w:t xml:space="preserve"> ist eine starke Säure und</w:t>
      </w:r>
      <w:r w:rsidR="00336043">
        <w:t xml:space="preserve"> dissoziiert in Wasser vollständig zu Chlorid</w:t>
      </w:r>
      <w:r w:rsidR="00E86BEC">
        <w:t>-</w:t>
      </w:r>
      <w:r w:rsidR="00336043">
        <w:t xml:space="preserve"> und</w:t>
      </w:r>
      <w:r w:rsidR="00E86BEC">
        <w:t xml:space="preserve"> Wasserstoff-Ionen. Essigsäure als schwache Säure dissoziiert dagegen in Wasser nicht vollständig zu Wasserstoff-Ionen und Acetat-Ionen </w:t>
      </w:r>
      <w:r w:rsidR="00E86BEC">
        <w:lastRenderedPageBreak/>
        <w:t>und leitet somit die elektrische Stromstäke weniger. Des Weiteren ist das Acetat-Ion im Vergleich zum Chlorid-Ion größer und trägt somit weniger zum Ionentransport (Leitfähigkeit) in der Lösung bei.</w:t>
      </w:r>
    </w:p>
    <w:p w14:paraId="5C2B1C12" w14:textId="77777777" w:rsidR="00E86BEC" w:rsidRDefault="00E86BEC" w:rsidP="006C2DDC">
      <w:pPr>
        <w:tabs>
          <w:tab w:val="left" w:pos="1701"/>
          <w:tab w:val="left" w:pos="1985"/>
        </w:tabs>
        <w:ind w:left="1980" w:hanging="1980"/>
      </w:pPr>
      <w:r>
        <w:t>Entsorgung:</w:t>
      </w:r>
      <w:r>
        <w:tab/>
      </w:r>
      <w:r>
        <w:tab/>
        <w:t>Die Lösungen werden in den Abfallbehälter für Säuren-und Basen entsorgt.</w:t>
      </w:r>
    </w:p>
    <w:p w14:paraId="7CE0CF87" w14:textId="77777777" w:rsidR="00E86BEC" w:rsidRDefault="00E86BEC" w:rsidP="006C2DDC">
      <w:pPr>
        <w:tabs>
          <w:tab w:val="left" w:pos="1701"/>
          <w:tab w:val="left" w:pos="1985"/>
        </w:tabs>
        <w:ind w:left="1980" w:hanging="1980"/>
      </w:pPr>
      <w:r>
        <w:t>Literatur:</w:t>
      </w:r>
      <w:r>
        <w:tab/>
      </w:r>
      <w:r>
        <w:tab/>
      </w:r>
      <w:r w:rsidR="00B96865">
        <w:t>W. Asselborn, M. Jäckel, K. T. Risch (Hrsg.), Chemie heute – Sekundarbereich I, Schroedel, 2001, S. 159.</w:t>
      </w:r>
    </w:p>
    <w:p w14:paraId="57866AF3" w14:textId="77777777" w:rsidR="006C2DDC" w:rsidRDefault="006C2DDC" w:rsidP="006C2DDC">
      <w:pPr>
        <w:tabs>
          <w:tab w:val="left" w:pos="1701"/>
          <w:tab w:val="left" w:pos="1985"/>
        </w:tabs>
        <w:ind w:left="1980" w:hanging="1980"/>
      </w:pPr>
    </w:p>
    <w:p w14:paraId="5AC1BE53" w14:textId="77777777" w:rsidR="006C2DDC" w:rsidRDefault="00E86BEC" w:rsidP="006C2DDC">
      <w:pPr>
        <w:tabs>
          <w:tab w:val="left" w:pos="1701"/>
          <w:tab w:val="left" w:pos="1985"/>
        </w:tabs>
        <w:ind w:left="1980" w:hanging="1980"/>
      </w:pPr>
      <w:r>
        <w:rPr>
          <w:noProof/>
          <w:lang w:eastAsia="de-DE"/>
        </w:rPr>
        <mc:AlternateContent>
          <mc:Choice Requires="wps">
            <w:drawing>
              <wp:inline distT="0" distB="0" distL="0" distR="0" wp14:anchorId="701D2879" wp14:editId="29A697E1">
                <wp:extent cx="5760720" cy="1199071"/>
                <wp:effectExtent l="0" t="0" r="11430" b="20320"/>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907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9D8ACF" w14:textId="77777777" w:rsidR="00E86BEC" w:rsidRDefault="00E86BEC" w:rsidP="00E86BEC">
                            <w:pPr>
                              <w:rPr>
                                <w:color w:val="auto"/>
                              </w:rPr>
                            </w:pPr>
                            <w:r>
                              <w:rPr>
                                <w:color w:val="auto"/>
                              </w:rPr>
                              <w:t>Dieser Versuch eignet sich sehr gut als Problemexperiment, da SuS oft aus gleichen Konzentrationen auch gleiche Säurestärken schließen.</w:t>
                            </w:r>
                          </w:p>
                          <w:p w14:paraId="26E2F5A7" w14:textId="77777777" w:rsidR="00E86BEC" w:rsidRPr="00BA5BDE" w:rsidRDefault="00E86BEC" w:rsidP="00E86BEC">
                            <w:pPr>
                              <w:rPr>
                                <w:color w:val="auto"/>
                              </w:rPr>
                            </w:pPr>
                            <w:r>
                              <w:rPr>
                                <w:color w:val="auto"/>
                              </w:rPr>
                              <w:t>Des Weiteren könnte als Anschlussexperiment der pH-Wert der beiden sauren Lösungen gemessen werden, um den Begriff der Säurestärke quantitativ zu messen.</w:t>
                            </w:r>
                          </w:p>
                        </w:txbxContent>
                      </wps:txbx>
                      <wps:bodyPr rot="0" vert="horz" wrap="square" lIns="91440" tIns="45720" rIns="91440" bIns="45720" anchor="t" anchorCtr="0" upright="1">
                        <a:noAutofit/>
                      </wps:bodyPr>
                    </wps:wsp>
                  </a:graphicData>
                </a:graphic>
              </wp:inline>
            </w:drawing>
          </mc:Choice>
          <mc:Fallback>
            <w:pict>
              <v:shape w14:anchorId="701D2879" id="Textfeld 5" o:spid="_x0000_s1033" type="#_x0000_t202" style="width:453.6pt;height:9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" fillcolor="white [3201]" strokecolor="#c0504d [3205]" strokeweight="1pt">
                <v:stroke dashstyle="dash"/>
                <v:shadow color="#868686"/>
                <v:textbox>
                  <w:txbxContent>
                    <w:p w14:paraId="309D8ACF" w14:textId="77777777" w:rsidR="00E86BEC" w:rsidRDefault="00E86BEC" w:rsidP="00E86BEC">
                      <w:pPr>
                        <w:rPr>
                          <w:color w:val="auto"/>
                        </w:rPr>
                      </w:pPr>
                      <w:r>
                        <w:rPr>
                          <w:color w:val="auto"/>
                        </w:rPr>
                        <w:t>Dieser Versuch eignet sich sehr gut als Problemexperiment, da SuS oft aus gleichen Konzentrationen auch gleiche Säurestärken schließen.</w:t>
                      </w:r>
                    </w:p>
                    <w:p w14:paraId="26E2F5A7" w14:textId="77777777" w:rsidR="00E86BEC" w:rsidRPr="00BA5BDE" w:rsidRDefault="00E86BEC" w:rsidP="00E86BEC">
                      <w:pPr>
                        <w:rPr>
                          <w:color w:val="auto"/>
                        </w:rPr>
                      </w:pPr>
                      <w:r>
                        <w:rPr>
                          <w:color w:val="auto"/>
                        </w:rPr>
                        <w:t>Des Weiteren könnte als Anschlussexperiment der pH-Wert der beiden sauren Lösungen gemessen werden, um den Begriff der Säurestärke quantitativ zu messen.</w:t>
                      </w:r>
                    </w:p>
                  </w:txbxContent>
                </v:textbox>
                <w10:anchorlock/>
              </v:shape>
            </w:pict>
          </mc:Fallback>
        </mc:AlternateContent>
      </w:r>
    </w:p>
    <w:p w14:paraId="55AF4C05" w14:textId="77777777" w:rsidR="006C2DDC" w:rsidRDefault="00496ACF" w:rsidP="006C2DDC">
      <w:pPr>
        <w:tabs>
          <w:tab w:val="left" w:pos="1701"/>
          <w:tab w:val="left" w:pos="1985"/>
        </w:tabs>
        <w:ind w:left="1980" w:hanging="1980"/>
      </w:pPr>
      <w:r>
        <w:tab/>
      </w:r>
    </w:p>
    <w:p w14:paraId="41043BCD" w14:textId="77777777" w:rsidR="00011533" w:rsidRDefault="00011533" w:rsidP="00011533">
      <w:pPr>
        <w:tabs>
          <w:tab w:val="left" w:pos="1701"/>
          <w:tab w:val="left" w:pos="1985"/>
        </w:tabs>
        <w:ind w:left="1980" w:hanging="1980"/>
        <w:rPr>
          <w:color w:val="1F497D" w:themeColor="text2"/>
        </w:rPr>
      </w:pPr>
    </w:p>
    <w:p w14:paraId="5A76F519" w14:textId="77777777" w:rsidR="00011533" w:rsidRDefault="00011533" w:rsidP="00011533">
      <w:pPr>
        <w:tabs>
          <w:tab w:val="left" w:pos="1701"/>
          <w:tab w:val="left" w:pos="1985"/>
        </w:tabs>
        <w:ind w:left="1980" w:hanging="1980"/>
        <w:rPr>
          <w:color w:val="1F497D" w:themeColor="text2"/>
        </w:rPr>
      </w:pPr>
    </w:p>
    <w:p w14:paraId="20A5A0D1" w14:textId="77777777" w:rsidR="00011533" w:rsidRDefault="00011533" w:rsidP="00011533">
      <w:pPr>
        <w:tabs>
          <w:tab w:val="left" w:pos="1701"/>
          <w:tab w:val="left" w:pos="1985"/>
        </w:tabs>
        <w:ind w:left="1980" w:hanging="1980"/>
        <w:rPr>
          <w:color w:val="1F497D" w:themeColor="text2"/>
        </w:rPr>
      </w:pPr>
    </w:p>
    <w:p w14:paraId="0D173883" w14:textId="77777777" w:rsidR="00011533" w:rsidRDefault="00011533" w:rsidP="00011533">
      <w:pPr>
        <w:tabs>
          <w:tab w:val="left" w:pos="1701"/>
          <w:tab w:val="left" w:pos="1985"/>
        </w:tabs>
        <w:ind w:left="1980" w:hanging="1980"/>
        <w:rPr>
          <w:color w:val="1F497D" w:themeColor="text2"/>
        </w:rPr>
      </w:pPr>
    </w:p>
    <w:p w14:paraId="4EDFB11C" w14:textId="77777777" w:rsidR="00011533" w:rsidRPr="00F74A95" w:rsidRDefault="00011533" w:rsidP="00011533">
      <w:pPr>
        <w:rPr>
          <w:color w:val="1F497D" w:themeColor="text2"/>
        </w:rPr>
        <w:sectPr w:rsidR="00011533" w:rsidRPr="00F74A95" w:rsidSect="0007729E">
          <w:headerReference w:type="even" r:id="rId27"/>
          <w:headerReference w:type="default" r:id="rId28"/>
          <w:footerReference w:type="even" r:id="rId29"/>
          <w:footerReference w:type="default" r:id="rId30"/>
          <w:headerReference w:type="first" r:id="rId31"/>
          <w:footerReference w:type="first" r:id="rId32"/>
          <w:pgSz w:w="11906" w:h="16838"/>
          <w:pgMar w:top="1417" w:right="1417" w:bottom="709" w:left="1417" w:header="708" w:footer="708" w:gutter="0"/>
          <w:pgNumType w:start="0"/>
          <w:cols w:space="708"/>
          <w:titlePg/>
          <w:docGrid w:linePitch="360"/>
        </w:sectPr>
      </w:pPr>
    </w:p>
    <w:p w14:paraId="769A6FDC" w14:textId="77777777" w:rsidR="00011533" w:rsidRDefault="00011533" w:rsidP="00011533">
      <w:pPr>
        <w:tabs>
          <w:tab w:val="left" w:pos="1701"/>
          <w:tab w:val="left" w:pos="1985"/>
        </w:tabs>
        <w:rPr>
          <w:b/>
          <w:sz w:val="28"/>
        </w:rPr>
      </w:pPr>
      <w:bookmarkStart w:id="7" w:name="_GoBack"/>
      <w:r>
        <w:rPr>
          <w:b/>
          <w:sz w:val="28"/>
        </w:rPr>
        <w:lastRenderedPageBreak/>
        <w:t xml:space="preserve">Arbeitsblatt – </w:t>
      </w:r>
      <w:r w:rsidR="00C62266">
        <w:rPr>
          <w:b/>
          <w:sz w:val="28"/>
        </w:rPr>
        <w:t>Brønsted</w:t>
      </w:r>
      <w:r w:rsidR="000926BA">
        <w:rPr>
          <w:b/>
          <w:sz w:val="28"/>
        </w:rPr>
        <w:t>- Säuren und Basen</w:t>
      </w:r>
    </w:p>
    <w:p w14:paraId="1DC25252" w14:textId="77777777" w:rsidR="00011533" w:rsidRPr="00E54798" w:rsidRDefault="00011533" w:rsidP="00011533">
      <w:pPr>
        <w:rPr>
          <w:color w:val="auto"/>
        </w:rPr>
      </w:pPr>
    </w:p>
    <w:p w14:paraId="42DCCFF5" w14:textId="77777777" w:rsidR="00011533" w:rsidRDefault="000926BA" w:rsidP="00011533">
      <w:pPr>
        <w:rPr>
          <w:color w:val="auto"/>
        </w:rPr>
      </w:pPr>
      <w:r>
        <w:rPr>
          <w:color w:val="auto"/>
        </w:rPr>
        <w:t xml:space="preserve">Aufgabe 1: Erkläre die Begriffe </w:t>
      </w:r>
      <w:r w:rsidR="00C62266">
        <w:rPr>
          <w:color w:val="auto"/>
        </w:rPr>
        <w:t>Brønsted</w:t>
      </w:r>
      <w:r>
        <w:rPr>
          <w:color w:val="auto"/>
        </w:rPr>
        <w:t xml:space="preserve">-Säure, </w:t>
      </w:r>
      <w:r w:rsidR="00C62266">
        <w:rPr>
          <w:color w:val="auto"/>
        </w:rPr>
        <w:t>Brønsted</w:t>
      </w:r>
      <w:r>
        <w:rPr>
          <w:color w:val="auto"/>
        </w:rPr>
        <w:t xml:space="preserve">-Base und </w:t>
      </w:r>
      <w:r w:rsidR="00B96865">
        <w:rPr>
          <w:color w:val="auto"/>
        </w:rPr>
        <w:t>Säure/Base – Reaktion.</w:t>
      </w:r>
    </w:p>
    <w:p w14:paraId="2C22BE60" w14:textId="77777777" w:rsidR="000926BA" w:rsidRDefault="000926BA" w:rsidP="00011533">
      <w:pPr>
        <w:rPr>
          <w:color w:val="auto"/>
        </w:rPr>
      </w:pPr>
      <w:r>
        <w:rPr>
          <w:color w:val="auto"/>
        </w:rPr>
        <w:t>Aufgabe 2: Die Herstellung von Chlorwasserstoff im Labor durch Auftrop</w:t>
      </w:r>
      <w:r w:rsidR="00ED449A">
        <w:rPr>
          <w:color w:val="auto"/>
        </w:rPr>
        <w:t>fen von konzentrierter Schwefel</w:t>
      </w:r>
      <w:r>
        <w:rPr>
          <w:color w:val="auto"/>
        </w:rPr>
        <w:t>säure auf Kochsalz ist eine Säure-Base-Reaktion. Formuliere die Reaktionsgleichung (es entsteht auch Natriumhydrogensulfat) sowie die Gleichung die nur die reagierende T</w:t>
      </w:r>
      <w:r w:rsidR="00ED449A">
        <w:rPr>
          <w:color w:val="auto"/>
        </w:rPr>
        <w:t xml:space="preserve">eilchen angibt. Nenne dabei </w:t>
      </w:r>
      <w:r w:rsidR="00EC3ADA">
        <w:rPr>
          <w:color w:val="auto"/>
        </w:rPr>
        <w:t>die</w:t>
      </w:r>
      <w:r w:rsidR="00EC3ADA" w:rsidRPr="00EC3ADA">
        <w:rPr>
          <w:color w:val="auto"/>
        </w:rPr>
        <w:t xml:space="preserve"> </w:t>
      </w:r>
      <w:r w:rsidR="00EC3ADA">
        <w:rPr>
          <w:color w:val="auto"/>
        </w:rPr>
        <w:t>Brønsted-Säure und Brønsted-Base.</w:t>
      </w:r>
    </w:p>
    <w:p w14:paraId="4BEE3095" w14:textId="77777777" w:rsidR="00ED449A" w:rsidRPr="00ED449A" w:rsidRDefault="00ED449A" w:rsidP="00011533">
      <w:pPr>
        <w:rPr>
          <w:color w:val="auto"/>
        </w:rPr>
      </w:pPr>
      <w:r>
        <w:rPr>
          <w:color w:val="auto"/>
        </w:rPr>
        <w:t xml:space="preserve">Aufgabe 3: Begründe, weshalb bei Magenbeschwerden </w:t>
      </w:r>
      <w:r w:rsidR="00C62266">
        <w:rPr>
          <w:color w:val="auto"/>
        </w:rPr>
        <w:t>Präparate</w:t>
      </w:r>
      <w:r>
        <w:rPr>
          <w:color w:val="auto"/>
        </w:rPr>
        <w:t xml:space="preserve"> eingenommen werden, die Alumi</w:t>
      </w:r>
      <w:r w:rsidR="00C05768">
        <w:rPr>
          <w:color w:val="auto"/>
        </w:rPr>
        <w:t>ni</w:t>
      </w:r>
      <w:r>
        <w:rPr>
          <w:color w:val="auto"/>
        </w:rPr>
        <w:t>umhydroxid (Al(OH)</w:t>
      </w:r>
      <w:r>
        <w:rPr>
          <w:color w:val="auto"/>
          <w:vertAlign w:val="subscript"/>
        </w:rPr>
        <w:t>3</w:t>
      </w:r>
      <w:r>
        <w:rPr>
          <w:color w:val="auto"/>
        </w:rPr>
        <w:t>) enthalten und stelle die Reaktionsgleichung für die Reaktion im Magen auf.</w:t>
      </w:r>
    </w:p>
    <w:p w14:paraId="0BCA9774" w14:textId="77777777" w:rsidR="00011533" w:rsidRPr="005240FE" w:rsidRDefault="00011533" w:rsidP="00011533">
      <w:pPr>
        <w:sectPr w:rsidR="00011533" w:rsidRPr="005240FE" w:rsidSect="0049087A">
          <w:headerReference w:type="default" r:id="rId33"/>
          <w:pgSz w:w="11906" w:h="16838"/>
          <w:pgMar w:top="1417" w:right="1417" w:bottom="709" w:left="1417" w:header="708" w:footer="708" w:gutter="0"/>
          <w:pgNumType w:start="0"/>
          <w:cols w:space="708"/>
          <w:docGrid w:linePitch="360"/>
        </w:sectPr>
      </w:pPr>
      <w:r>
        <w:t xml:space="preserve"> </w:t>
      </w:r>
    </w:p>
    <w:p w14:paraId="7620F004" w14:textId="77777777" w:rsidR="00011533" w:rsidRDefault="00011533" w:rsidP="00011533">
      <w:pPr>
        <w:pStyle w:val="berschrift1"/>
        <w:numPr>
          <w:ilvl w:val="0"/>
          <w:numId w:val="1"/>
        </w:numPr>
        <w:spacing w:before="360" w:after="240"/>
        <w:rPr>
          <w:color w:val="auto"/>
        </w:rPr>
      </w:pPr>
      <w:bookmarkStart w:id="8" w:name="_Toc426996040"/>
      <w:r>
        <w:rPr>
          <w:color w:val="auto"/>
        </w:rPr>
        <w:lastRenderedPageBreak/>
        <w:t>Didaktischer Kommentar zum Schülerarbeitsblatt</w:t>
      </w:r>
      <w:bookmarkEnd w:id="8"/>
      <w:r>
        <w:rPr>
          <w:color w:val="auto"/>
        </w:rPr>
        <w:t xml:space="preserve"> </w:t>
      </w:r>
    </w:p>
    <w:p w14:paraId="68A4B01A" w14:textId="54142B94" w:rsidR="008A3507" w:rsidRDefault="008A3507" w:rsidP="008A3507">
      <w:r>
        <w:t xml:space="preserve">Viele Säure-Base-Reaktionen werden in der Chemie mittels des Säure-Base-Konzepts nach </w:t>
      </w:r>
      <w:r w:rsidR="00F07BDE">
        <w:t>Brønsted</w:t>
      </w:r>
      <w:r>
        <w:t xml:space="preserve"> erklärt. Hierbei ist wichtig, dass SuS das </w:t>
      </w:r>
      <w:r w:rsidR="00963B0C">
        <w:t>geeignete Säure-Base-Konzepte wählen und kritisch im Umgang mit Modellen sind. Ziel ist, dass SuS das Konzept nach Brønsted erläutern und eine Säure-Base-</w:t>
      </w:r>
      <w:r w:rsidR="00F558E2">
        <w:t xml:space="preserve">Reaktion </w:t>
      </w:r>
      <w:r w:rsidR="00963B0C">
        <w:t>als Übertragung von Protonen kennzeichnen. Hierbei sollen SuS ihre Fachsprache ausschärfen und die chemische Symbolsprache anwenden.</w:t>
      </w:r>
      <w:r>
        <w:t xml:space="preserve"> Des Weiteren knüpft das Arbeitsblatt an Anwendungsbereiche für </w:t>
      </w:r>
      <w:r w:rsidR="00963B0C">
        <w:t>Laugen</w:t>
      </w:r>
      <w:r>
        <w:t xml:space="preserve"> im medizinischen Bereich an, sodass SuS den</w:t>
      </w:r>
      <w:r w:rsidR="00963B0C">
        <w:t xml:space="preserve"> lebensweltlichen Bezug beurteilen und bewerten sollen</w:t>
      </w:r>
      <w:r>
        <w:t>.</w:t>
      </w:r>
    </w:p>
    <w:p w14:paraId="1104CFF5" w14:textId="77777777" w:rsidR="00963B0C" w:rsidRPr="008A3507" w:rsidRDefault="008A3507" w:rsidP="008A3507">
      <w:r>
        <w:t>Dieses Arbeitsblatt dient zur Überprüfung des Gelernten in der Unterrichtseinheit Sä</w:t>
      </w:r>
      <w:r w:rsidR="00F07BDE">
        <w:t>ure/Base- Konzept nach Brønsted.</w:t>
      </w:r>
      <w:r>
        <w:t xml:space="preserve"> </w:t>
      </w:r>
    </w:p>
    <w:p w14:paraId="00AA9CCF" w14:textId="77777777" w:rsidR="00011533" w:rsidRDefault="00011533" w:rsidP="00011533">
      <w:pPr>
        <w:pStyle w:val="berschrift2"/>
        <w:numPr>
          <w:ilvl w:val="1"/>
          <w:numId w:val="1"/>
        </w:numPr>
        <w:spacing w:after="200"/>
        <w:rPr>
          <w:color w:val="auto"/>
        </w:rPr>
      </w:pPr>
      <w:bookmarkStart w:id="9" w:name="_Toc426996041"/>
      <w:r w:rsidRPr="00E54798">
        <w:rPr>
          <w:color w:val="auto"/>
        </w:rPr>
        <w:t>Erwartungshorizont (Kerncurriculum)</w:t>
      </w:r>
      <w:bookmarkEnd w:id="9"/>
    </w:p>
    <w:p w14:paraId="2C4E6A85" w14:textId="77777777" w:rsidR="00F07BDE" w:rsidRDefault="00F07BDE" w:rsidP="00F07BDE">
      <w:r>
        <w:t>Im Folgenden werden die vorrangig geförderten Kompetenzen in den Bereichen Fachwissen, Erkenntnisgewinnung, Kommunikation und Bewertung im Bezug zum KC für jede Aufgabe erläutert.</w:t>
      </w:r>
    </w:p>
    <w:p w14:paraId="5759486F" w14:textId="77777777" w:rsidR="00F07BDE" w:rsidRDefault="00F07BDE" w:rsidP="00F07BDE">
      <w:pPr>
        <w:pStyle w:val="berschrift3"/>
        <w:numPr>
          <w:ilvl w:val="0"/>
          <w:numId w:val="5"/>
        </w:numPr>
      </w:pPr>
      <w:bookmarkStart w:id="10" w:name="_Toc426996042"/>
      <w:r>
        <w:t>Aufgabe 1</w:t>
      </w:r>
      <w:bookmarkEnd w:id="10"/>
    </w:p>
    <w:p w14:paraId="173CA0AF" w14:textId="77777777" w:rsidR="00F07BDE" w:rsidRDefault="00F07BDE" w:rsidP="00F07BDE">
      <w:r>
        <w:t xml:space="preserve">In dieser Aufgabe sollen SuS gelernte Fakten und Sachverhalte reproduzieren und fachsprachlich korrekt benennen. Aufgrund des </w:t>
      </w:r>
      <w:r w:rsidR="00963B0C">
        <w:t>Wiedergebens</w:t>
      </w:r>
      <w:r>
        <w:t xml:space="preserve"> von Fakten entspricht diese Aufgabe dem Anforderungsbereich I.</w:t>
      </w:r>
    </w:p>
    <w:p w14:paraId="0BED06FC" w14:textId="77777777" w:rsidR="00F07BDE" w:rsidRDefault="00F07BDE" w:rsidP="009A00D5">
      <w:pPr>
        <w:ind w:left="2832" w:hanging="2832"/>
      </w:pPr>
      <w:r>
        <w:t>Fachwissen:</w:t>
      </w:r>
      <w:r>
        <w:tab/>
        <w:t xml:space="preserve">SuS </w:t>
      </w:r>
      <w:r w:rsidR="00232321">
        <w:t>erläutern</w:t>
      </w:r>
      <w:r>
        <w:t xml:space="preserve"> das Konzept der Säure-Base-Theorie nach </w:t>
      </w:r>
      <w:r w:rsidR="00C05768">
        <w:t>Brønsted</w:t>
      </w:r>
      <w:r>
        <w:t xml:space="preserve"> und kennzeichnen die Übertragung von Protonen als eine bestimmte Reaktionsart.</w:t>
      </w:r>
    </w:p>
    <w:p w14:paraId="1F31A7DF" w14:textId="77777777" w:rsidR="00F07BDE" w:rsidRDefault="00F07BDE" w:rsidP="00F07BDE">
      <w:pPr>
        <w:pStyle w:val="berschrift3"/>
        <w:numPr>
          <w:ilvl w:val="0"/>
          <w:numId w:val="5"/>
        </w:numPr>
      </w:pPr>
      <w:bookmarkStart w:id="11" w:name="_Toc426996043"/>
      <w:r>
        <w:t>Aufgabe 2</w:t>
      </w:r>
      <w:bookmarkEnd w:id="11"/>
    </w:p>
    <w:p w14:paraId="4F01E3F0" w14:textId="77777777" w:rsidR="00F07BDE" w:rsidRDefault="00F07BDE" w:rsidP="00F07BDE">
      <w:r>
        <w:t>Aufgabe 2 verlangt von den SuS fachspezifischer Wissen in einem einfachen Kontext anzuwenden und diese Sachverhalte strukturiert mittels Reaktionsgleichungen darzustellen. Das Niveau dieser Aufgabe entspricht somit dem Anforderungsbereich II.</w:t>
      </w:r>
    </w:p>
    <w:p w14:paraId="1692446F" w14:textId="77777777" w:rsidR="00F07BDE" w:rsidRDefault="00F07BDE" w:rsidP="009A00D5">
      <w:pPr>
        <w:ind w:left="2832" w:hanging="2832"/>
      </w:pPr>
      <w:r>
        <w:t>Fachwissen:</w:t>
      </w:r>
      <w:r>
        <w:tab/>
        <w:t xml:space="preserve">SuS </w:t>
      </w:r>
      <w:r w:rsidR="00232321">
        <w:t>erläutern</w:t>
      </w:r>
      <w:r>
        <w:t xml:space="preserve"> das Konzept der Säure-Base-Theorie nach </w:t>
      </w:r>
      <w:r w:rsidR="00C05768">
        <w:t>Brønsted</w:t>
      </w:r>
      <w:r>
        <w:t xml:space="preserve"> und kennzeichnen die Übertragung von Protonen als eine bestimmte Reaktionsart.</w:t>
      </w:r>
    </w:p>
    <w:p w14:paraId="04580C6D" w14:textId="77777777" w:rsidR="009A00D5" w:rsidRDefault="009A00D5" w:rsidP="00F07BDE">
      <w:pPr>
        <w:ind w:left="2124" w:hanging="2124"/>
      </w:pPr>
      <w:r>
        <w:tab/>
      </w:r>
      <w:r>
        <w:tab/>
        <w:t>SuS unterscheiden zwischen Atomen und Ionen.</w:t>
      </w:r>
    </w:p>
    <w:p w14:paraId="40E16A9E" w14:textId="77777777" w:rsidR="009A00D5" w:rsidRDefault="009A00D5" w:rsidP="00F07BDE">
      <w:pPr>
        <w:ind w:left="2124" w:hanging="2124"/>
      </w:pPr>
      <w:r>
        <w:t>Erkenntnisgewinnung:</w:t>
      </w:r>
      <w:r>
        <w:tab/>
        <w:t>SuS unterscheiden zwischen Stoff und Teilchenebene.</w:t>
      </w:r>
    </w:p>
    <w:p w14:paraId="22C41202" w14:textId="77777777" w:rsidR="009A00D5" w:rsidRDefault="009A00D5" w:rsidP="009A00D5">
      <w:pPr>
        <w:ind w:left="2832" w:hanging="2832"/>
      </w:pPr>
      <w:r>
        <w:lastRenderedPageBreak/>
        <w:t>Kommunikation:</w:t>
      </w:r>
      <w:r>
        <w:tab/>
        <w:t>SuS erklären chemische Sachverhalte mit den passenden Modellen unter Anwendung der Fachsprache.</w:t>
      </w:r>
    </w:p>
    <w:p w14:paraId="56F38BB3" w14:textId="77777777" w:rsidR="00F07BDE" w:rsidRDefault="009A00D5" w:rsidP="009A00D5">
      <w:pPr>
        <w:pStyle w:val="berschrift3"/>
        <w:numPr>
          <w:ilvl w:val="0"/>
          <w:numId w:val="5"/>
        </w:numPr>
      </w:pPr>
      <w:bookmarkStart w:id="12" w:name="_Toc426996044"/>
      <w:r>
        <w:t>Aufgabe 3</w:t>
      </w:r>
      <w:bookmarkEnd w:id="12"/>
    </w:p>
    <w:p w14:paraId="58433BFA" w14:textId="77777777" w:rsidR="009A00D5" w:rsidRDefault="009A00D5" w:rsidP="009A00D5">
      <w:r>
        <w:t>Aufgabe 3 beinhaltet das Auswählen von fachspezifischem Wissen und Anwenden auf teilweise unbekannte Kontexte. Des Weiteren müssen SuS ihre Erkenntnisse als Basis für die Bewertung eines Sachverhaltes nutzen und begründen können. Aufgrund der hohen kognitiven Forderung dieser Aufgabe entspricht das Niveau dem Anforderungsbereich III.</w:t>
      </w:r>
    </w:p>
    <w:p w14:paraId="2660B984" w14:textId="77777777" w:rsidR="009A00D5" w:rsidRDefault="009A00D5" w:rsidP="009A00D5">
      <w:pPr>
        <w:ind w:left="2832" w:hanging="2832"/>
      </w:pPr>
      <w:r>
        <w:t>Fachwissen:</w:t>
      </w:r>
      <w:r>
        <w:tab/>
        <w:t xml:space="preserve">SuS </w:t>
      </w:r>
      <w:r w:rsidR="00232321">
        <w:t>erläutern</w:t>
      </w:r>
      <w:r>
        <w:t xml:space="preserve"> das Konzept der Säure-Base-Theorie nach </w:t>
      </w:r>
      <w:r w:rsidR="00C05768">
        <w:t>Brønsted</w:t>
      </w:r>
      <w:r>
        <w:t xml:space="preserve"> und kennzeichnen die Übertragung von Protonen als eine bestimmte Reaktionsart.</w:t>
      </w:r>
    </w:p>
    <w:p w14:paraId="67B9D2AB" w14:textId="77777777" w:rsidR="009A00D5" w:rsidRDefault="009A00D5" w:rsidP="009A00D5">
      <w:pPr>
        <w:ind w:left="2124" w:hanging="2124"/>
      </w:pPr>
      <w:r>
        <w:tab/>
      </w:r>
      <w:r>
        <w:tab/>
        <w:t>SuS unterscheiden zwischen Atomen und Ionen.</w:t>
      </w:r>
    </w:p>
    <w:p w14:paraId="5ED3E288" w14:textId="77777777" w:rsidR="009A00D5" w:rsidRDefault="009A00D5" w:rsidP="009A00D5">
      <w:pPr>
        <w:ind w:left="2124" w:hanging="2124"/>
      </w:pPr>
      <w:r>
        <w:t>Erkenntnisgewinnung:</w:t>
      </w:r>
      <w:r>
        <w:tab/>
        <w:t>SuS unterscheiden zwischen Stoff und Teilchenebene.</w:t>
      </w:r>
    </w:p>
    <w:p w14:paraId="01A65147" w14:textId="77777777" w:rsidR="009A00D5" w:rsidRDefault="009A00D5" w:rsidP="009A00D5">
      <w:pPr>
        <w:ind w:left="2832" w:hanging="2832"/>
      </w:pPr>
      <w:r>
        <w:t>Kommunikation:</w:t>
      </w:r>
      <w:r>
        <w:tab/>
        <w:t>SuS erklären chemische Sachverhalte mit den passenden Modellen unter Anwendung der Fachsprache.</w:t>
      </w:r>
    </w:p>
    <w:p w14:paraId="6488CA69" w14:textId="77777777" w:rsidR="009A00D5" w:rsidRDefault="009A00D5" w:rsidP="009A00D5">
      <w:pPr>
        <w:ind w:left="2832" w:hanging="2832"/>
      </w:pPr>
      <w:r>
        <w:tab/>
        <w:t>SuS wenden die Fachsprache systematisch auf chemische Reaktionen an.</w:t>
      </w:r>
    </w:p>
    <w:p w14:paraId="6ECA1222" w14:textId="77777777" w:rsidR="009A00D5" w:rsidRPr="009A00D5" w:rsidRDefault="009A00D5" w:rsidP="009A00D5">
      <w:pPr>
        <w:ind w:left="2832" w:hanging="2832"/>
      </w:pPr>
      <w:r>
        <w:t>Bewertung:</w:t>
      </w:r>
      <w:r>
        <w:tab/>
        <w:t>SuS stellen Bezüge zur Biologie her, in dem sie die Auswirkung der chemischen Reaktionen auf den menschlichen Körper bewerten.</w:t>
      </w:r>
    </w:p>
    <w:p w14:paraId="59268E8C" w14:textId="77777777" w:rsidR="00F07BDE" w:rsidRPr="00F07BDE" w:rsidRDefault="00F07BDE" w:rsidP="00F07BDE"/>
    <w:p w14:paraId="373775CA" w14:textId="77777777" w:rsidR="00011533" w:rsidRPr="00E54798" w:rsidRDefault="00011533" w:rsidP="00011533">
      <w:pPr>
        <w:pStyle w:val="berschrift2"/>
        <w:numPr>
          <w:ilvl w:val="1"/>
          <w:numId w:val="1"/>
        </w:numPr>
        <w:spacing w:after="200"/>
        <w:rPr>
          <w:color w:val="auto"/>
        </w:rPr>
      </w:pPr>
      <w:bookmarkStart w:id="13" w:name="_Toc426996045"/>
      <w:r w:rsidRPr="00E54798">
        <w:rPr>
          <w:color w:val="auto"/>
        </w:rPr>
        <w:t>Erwartungshorizont (Inhaltlich)</w:t>
      </w:r>
      <w:bookmarkEnd w:id="13"/>
    </w:p>
    <w:p w14:paraId="65AE938F" w14:textId="77777777" w:rsidR="0038539D" w:rsidRDefault="00B96865">
      <w:pPr>
        <w:rPr>
          <w:rFonts w:asciiTheme="majorHAnsi" w:hAnsiTheme="majorHAnsi"/>
          <w:color w:val="auto"/>
        </w:rPr>
      </w:pPr>
      <w:r>
        <w:rPr>
          <w:rFonts w:asciiTheme="majorHAnsi" w:hAnsiTheme="majorHAnsi"/>
          <w:color w:val="auto"/>
        </w:rPr>
        <w:t>Aufgabe 1:</w:t>
      </w:r>
    </w:p>
    <w:p w14:paraId="755FB23B" w14:textId="77777777" w:rsidR="00B96865" w:rsidRPr="003804A7" w:rsidRDefault="00B96865" w:rsidP="00B96865">
      <w:pPr>
        <w:rPr>
          <w:color w:val="1F497D" w:themeColor="text2"/>
        </w:rPr>
      </w:pPr>
      <w:r w:rsidRPr="003804A7">
        <w:rPr>
          <w:color w:val="1F497D" w:themeColor="text2"/>
        </w:rPr>
        <w:t>Brønsted-Säure: Teilchen, die Protonen abgeben, heißen Brønsted-Säure. Sie sind ein Protondonator.</w:t>
      </w:r>
    </w:p>
    <w:p w14:paraId="7345871A" w14:textId="77777777" w:rsidR="00B96865" w:rsidRPr="003804A7" w:rsidRDefault="00B96865" w:rsidP="00B96865">
      <w:pPr>
        <w:rPr>
          <w:color w:val="1F497D" w:themeColor="text2"/>
        </w:rPr>
      </w:pPr>
      <w:r w:rsidRPr="003804A7">
        <w:rPr>
          <w:color w:val="1F497D" w:themeColor="text2"/>
        </w:rPr>
        <w:t>Brønsted-Base: Teilchen, die ein Proton aufnimmt, heißen Brønsted-Base. Sie sind ein Protonenakzeptor.</w:t>
      </w:r>
    </w:p>
    <w:p w14:paraId="4D5CF272" w14:textId="77777777" w:rsidR="00B96865" w:rsidRPr="003804A7" w:rsidRDefault="00B96865">
      <w:pPr>
        <w:rPr>
          <w:color w:val="1F497D" w:themeColor="text2"/>
        </w:rPr>
      </w:pPr>
      <w:r w:rsidRPr="003804A7">
        <w:rPr>
          <w:color w:val="1F497D" w:themeColor="text2"/>
        </w:rPr>
        <w:t>Säure/Base-Reaktion: Bei einer Säure/Base-Reaktion nach Brønsted handelt es sich um eine Protonenübertragungsreaktion.</w:t>
      </w:r>
    </w:p>
    <w:p w14:paraId="01CDDEF4" w14:textId="77777777" w:rsidR="009A00D5" w:rsidRDefault="009A00D5">
      <w:pPr>
        <w:rPr>
          <w:color w:val="auto"/>
        </w:rPr>
      </w:pPr>
    </w:p>
    <w:p w14:paraId="51EEDA75" w14:textId="77777777" w:rsidR="009A00D5" w:rsidRDefault="009A00D5">
      <w:pPr>
        <w:rPr>
          <w:color w:val="auto"/>
        </w:rPr>
      </w:pPr>
    </w:p>
    <w:p w14:paraId="533F8D9A" w14:textId="77777777" w:rsidR="009A00D5" w:rsidRDefault="009A00D5">
      <w:pPr>
        <w:rPr>
          <w:color w:val="auto"/>
        </w:rPr>
      </w:pPr>
    </w:p>
    <w:p w14:paraId="48282848" w14:textId="77777777" w:rsidR="00B96865" w:rsidRDefault="003804A7">
      <w:pPr>
        <w:rPr>
          <w:color w:val="auto"/>
        </w:rPr>
      </w:pPr>
      <w:r>
        <w:rPr>
          <w:color w:val="auto"/>
        </w:rPr>
        <w:t>Aufgabe 2:</w:t>
      </w:r>
    </w:p>
    <w:p w14:paraId="479E3C1B" w14:textId="77777777" w:rsidR="003804A7" w:rsidRPr="008A3507" w:rsidRDefault="00CE688A">
      <w:pPr>
        <w:rPr>
          <w:rFonts w:eastAsiaTheme="minorEastAsia"/>
          <w:color w:val="1F497D" w:themeColor="text2"/>
        </w:rPr>
      </w:pPr>
      <m:oMathPara>
        <m:oMath>
          <m:sSub>
            <m:sSubPr>
              <m:ctrlPr>
                <w:rPr>
                  <w:rFonts w:ascii="Cambria Math" w:hAnsi="Cambria Math"/>
                  <w:color w:val="1F497D" w:themeColor="text2"/>
                </w:rPr>
              </m:ctrlPr>
            </m:sSubPr>
            <m:e>
              <m:r>
                <m:rPr>
                  <m:sty m:val="p"/>
                </m:rPr>
                <w:rPr>
                  <w:rFonts w:ascii="Cambria Math" w:hAnsi="Cambria Math"/>
                  <w:color w:val="1F497D" w:themeColor="text2"/>
                </w:rPr>
                <m:t>2 NaCl</m:t>
              </m:r>
            </m:e>
            <m:sub>
              <m:d>
                <m:dPr>
                  <m:ctrlPr>
                    <w:rPr>
                      <w:rFonts w:ascii="Cambria Math" w:hAnsi="Cambria Math"/>
                      <w:color w:val="1F497D" w:themeColor="text2"/>
                    </w:rPr>
                  </m:ctrlPr>
                </m:dPr>
                <m:e>
                  <m:r>
                    <m:rPr>
                      <m:sty m:val="p"/>
                    </m:rPr>
                    <w:rPr>
                      <w:rFonts w:ascii="Cambria Math" w:hAnsi="Cambria Math"/>
                      <w:color w:val="1F497D" w:themeColor="text2"/>
                    </w:rPr>
                    <m:t>s</m:t>
                  </m:r>
                </m:e>
              </m:d>
            </m:sub>
          </m:sSub>
          <m:r>
            <m:rPr>
              <m:sty m:val="p"/>
            </m:rPr>
            <w:rPr>
              <w:rFonts w:ascii="Cambria Math" w:hAnsi="Cambria Math"/>
              <w:color w:val="1F497D" w:themeColor="text2"/>
            </w:rPr>
            <m:t xml:space="preserve">+ </m:t>
          </m:r>
          <m:sSub>
            <m:sSubPr>
              <m:ctrlPr>
                <w:rPr>
                  <w:rFonts w:ascii="Cambria Math" w:hAnsi="Cambria Math"/>
                  <w:color w:val="1F497D" w:themeColor="text2"/>
                </w:rPr>
              </m:ctrlPr>
            </m:sSubPr>
            <m:e>
              <m:r>
                <m:rPr>
                  <m:sty m:val="p"/>
                </m:rPr>
                <w:rPr>
                  <w:rFonts w:ascii="Cambria Math" w:hAnsi="Cambria Math"/>
                  <w:color w:val="1F497D" w:themeColor="text2"/>
                </w:rPr>
                <m:t>H</m:t>
              </m:r>
            </m:e>
            <m:sub>
              <m:r>
                <m:rPr>
                  <m:sty m:val="p"/>
                </m:rPr>
                <w:rPr>
                  <w:rFonts w:ascii="Cambria Math" w:hAnsi="Cambria Math"/>
                  <w:color w:val="1F497D" w:themeColor="text2"/>
                </w:rPr>
                <m:t>2</m:t>
              </m:r>
            </m:sub>
          </m:sSub>
          <m:sSub>
            <m:sSubPr>
              <m:ctrlPr>
                <w:rPr>
                  <w:rFonts w:ascii="Cambria Math" w:hAnsi="Cambria Math"/>
                  <w:color w:val="1F497D" w:themeColor="text2"/>
                </w:rPr>
              </m:ctrlPr>
            </m:sSubPr>
            <m:e>
              <m:r>
                <m:rPr>
                  <m:sty m:val="p"/>
                </m:rPr>
                <w:rPr>
                  <w:rFonts w:ascii="Cambria Math" w:hAnsi="Cambria Math"/>
                  <w:color w:val="1F497D" w:themeColor="text2"/>
                </w:rPr>
                <m:t>SO</m:t>
              </m:r>
            </m:e>
            <m:sub>
              <m:r>
                <m:rPr>
                  <m:sty m:val="p"/>
                </m:rPr>
                <w:rPr>
                  <w:rFonts w:ascii="Cambria Math" w:hAnsi="Cambria Math"/>
                  <w:color w:val="1F497D" w:themeColor="text2"/>
                </w:rPr>
                <m:t xml:space="preserve">4 </m:t>
              </m:r>
              <m:d>
                <m:dPr>
                  <m:ctrlPr>
                    <w:rPr>
                      <w:rFonts w:ascii="Cambria Math" w:hAnsi="Cambria Math"/>
                      <w:color w:val="1F497D" w:themeColor="text2"/>
                    </w:rPr>
                  </m:ctrlPr>
                </m:dPr>
                <m:e>
                  <m:r>
                    <m:rPr>
                      <m:sty m:val="p"/>
                    </m:rPr>
                    <w:rPr>
                      <w:rFonts w:ascii="Cambria Math" w:hAnsi="Cambria Math"/>
                      <w:color w:val="1F497D" w:themeColor="text2"/>
                    </w:rPr>
                    <m:t>l</m:t>
                  </m:r>
                </m:e>
              </m:d>
            </m:sub>
          </m:sSub>
          <m:r>
            <m:rPr>
              <m:sty m:val="p"/>
            </m:rPr>
            <w:rPr>
              <w:rFonts w:ascii="Cambria Math" w:hAnsi="Cambria Math"/>
              <w:color w:val="1F497D" w:themeColor="text2"/>
            </w:rPr>
            <m:t xml:space="preserve"> → NaH</m:t>
          </m:r>
          <m:sSub>
            <m:sSubPr>
              <m:ctrlPr>
                <w:rPr>
                  <w:rFonts w:ascii="Cambria Math" w:hAnsi="Cambria Math"/>
                  <w:color w:val="1F497D" w:themeColor="text2"/>
                </w:rPr>
              </m:ctrlPr>
            </m:sSubPr>
            <m:e>
              <m:r>
                <m:rPr>
                  <m:sty m:val="p"/>
                </m:rPr>
                <w:rPr>
                  <w:rFonts w:ascii="Cambria Math" w:hAnsi="Cambria Math"/>
                  <w:color w:val="1F497D" w:themeColor="text2"/>
                </w:rPr>
                <m:t>SO</m:t>
              </m:r>
            </m:e>
            <m:sub>
              <m:r>
                <m:rPr>
                  <m:sty m:val="p"/>
                </m:rPr>
                <w:rPr>
                  <w:rFonts w:ascii="Cambria Math" w:hAnsi="Cambria Math"/>
                  <w:color w:val="1F497D" w:themeColor="text2"/>
                </w:rPr>
                <m:t>4</m:t>
              </m:r>
              <m:d>
                <m:dPr>
                  <m:ctrlPr>
                    <w:rPr>
                      <w:rFonts w:ascii="Cambria Math" w:hAnsi="Cambria Math"/>
                      <w:color w:val="1F497D" w:themeColor="text2"/>
                    </w:rPr>
                  </m:ctrlPr>
                </m:dPr>
                <m:e>
                  <m:r>
                    <m:rPr>
                      <m:sty m:val="p"/>
                    </m:rPr>
                    <w:rPr>
                      <w:rFonts w:ascii="Cambria Math" w:hAnsi="Cambria Math"/>
                      <w:color w:val="1F497D" w:themeColor="text2"/>
                    </w:rPr>
                    <m:t>s</m:t>
                  </m:r>
                </m:e>
              </m:d>
            </m:sub>
          </m:sSub>
          <m:r>
            <m:rPr>
              <m:sty m:val="p"/>
            </m:rPr>
            <w:rPr>
              <w:rFonts w:ascii="Cambria Math" w:hAnsi="Cambria Math"/>
              <w:color w:val="1F497D" w:themeColor="text2"/>
            </w:rPr>
            <m:t>+2 HC</m:t>
          </m:r>
          <m:sSub>
            <m:sSubPr>
              <m:ctrlPr>
                <w:rPr>
                  <w:rFonts w:ascii="Cambria Math" w:hAnsi="Cambria Math"/>
                  <w:color w:val="1F497D" w:themeColor="text2"/>
                </w:rPr>
              </m:ctrlPr>
            </m:sSubPr>
            <m:e>
              <m:r>
                <m:rPr>
                  <m:sty m:val="p"/>
                </m:rPr>
                <w:rPr>
                  <w:rFonts w:ascii="Cambria Math" w:hAnsi="Cambria Math"/>
                  <w:color w:val="1F497D" w:themeColor="text2"/>
                </w:rPr>
                <m:t>l</m:t>
              </m:r>
            </m:e>
            <m:sub>
              <m:d>
                <m:dPr>
                  <m:ctrlPr>
                    <w:rPr>
                      <w:rFonts w:ascii="Cambria Math" w:hAnsi="Cambria Math"/>
                      <w:color w:val="1F497D" w:themeColor="text2"/>
                    </w:rPr>
                  </m:ctrlPr>
                </m:dPr>
                <m:e>
                  <m:r>
                    <m:rPr>
                      <m:sty m:val="p"/>
                    </m:rPr>
                    <w:rPr>
                      <w:rFonts w:ascii="Cambria Math" w:hAnsi="Cambria Math"/>
                      <w:color w:val="1F497D" w:themeColor="text2"/>
                    </w:rPr>
                    <m:t>g</m:t>
                  </m:r>
                </m:e>
              </m:d>
            </m:sub>
          </m:sSub>
        </m:oMath>
      </m:oMathPara>
    </w:p>
    <w:p w14:paraId="1C74AB82" w14:textId="77777777" w:rsidR="003804A7" w:rsidRPr="008A3507" w:rsidRDefault="003804A7" w:rsidP="003804A7">
      <w:pPr>
        <w:jc w:val="center"/>
        <w:rPr>
          <w:color w:val="1F497D" w:themeColor="text2"/>
        </w:rPr>
      </w:pPr>
      <w:r w:rsidRPr="008A3507">
        <w:rPr>
          <w:rFonts w:eastAsiaTheme="minorEastAsia"/>
          <w:noProof/>
          <w:color w:val="1F497D" w:themeColor="text2"/>
          <w:lang w:eastAsia="de-DE"/>
        </w:rPr>
        <mc:AlternateContent>
          <mc:Choice Requires="wps">
            <w:drawing>
              <wp:anchor distT="0" distB="0" distL="114300" distR="114300" simplePos="0" relativeHeight="251687936" behindDoc="0" locked="0" layoutInCell="1" allowOverlap="1" wp14:anchorId="771D5832" wp14:editId="3BCD5E9D">
                <wp:simplePos x="0" y="0"/>
                <wp:positionH relativeFrom="column">
                  <wp:posOffset>2530475</wp:posOffset>
                </wp:positionH>
                <wp:positionV relativeFrom="paragraph">
                  <wp:posOffset>233045</wp:posOffset>
                </wp:positionV>
                <wp:extent cx="0" cy="275590"/>
                <wp:effectExtent l="95250" t="38100" r="57150" b="10160"/>
                <wp:wrapNone/>
                <wp:docPr id="15" name="Gerade Verbindung mit Pfeil 15"/>
                <wp:cNvGraphicFramePr/>
                <a:graphic xmlns:a="http://schemas.openxmlformats.org/drawingml/2006/main">
                  <a:graphicData uri="http://schemas.microsoft.com/office/word/2010/wordprocessingShape">
                    <wps:wsp>
                      <wps:cNvCnPr/>
                      <wps:spPr>
                        <a:xfrm flipV="1">
                          <a:off x="0" y="0"/>
                          <a:ext cx="0" cy="2755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6137F9" id="Gerade Verbindung mit Pfeil 15" o:spid="_x0000_s1026" type="#_x0000_t32" style="position:absolute;margin-left:199.25pt;margin-top:18.35pt;width:0;height:21.7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" strokecolor="black [3040]">
                <v:stroke endarrow="open"/>
              </v:shape>
            </w:pict>
          </mc:Fallback>
        </mc:AlternateContent>
      </w:r>
      <w:r w:rsidRPr="008A3507">
        <w:rPr>
          <w:rFonts w:eastAsiaTheme="minorEastAsia"/>
          <w:noProof/>
          <w:color w:val="1F497D" w:themeColor="text2"/>
          <w:lang w:eastAsia="de-DE"/>
        </w:rPr>
        <mc:AlternateContent>
          <mc:Choice Requires="wps">
            <w:drawing>
              <wp:anchor distT="0" distB="0" distL="114300" distR="114300" simplePos="0" relativeHeight="251685888" behindDoc="0" locked="0" layoutInCell="1" allowOverlap="1" wp14:anchorId="50B38EF7" wp14:editId="13808315">
                <wp:simplePos x="0" y="0"/>
                <wp:positionH relativeFrom="column">
                  <wp:posOffset>1506975</wp:posOffset>
                </wp:positionH>
                <wp:positionV relativeFrom="paragraph">
                  <wp:posOffset>218632</wp:posOffset>
                </wp:positionV>
                <wp:extent cx="0" cy="276045"/>
                <wp:effectExtent l="95250" t="38100" r="57150" b="10160"/>
                <wp:wrapNone/>
                <wp:docPr id="13" name="Gerade Verbindung mit Pfeil 13"/>
                <wp:cNvGraphicFramePr/>
                <a:graphic xmlns:a="http://schemas.openxmlformats.org/drawingml/2006/main">
                  <a:graphicData uri="http://schemas.microsoft.com/office/word/2010/wordprocessingShape">
                    <wps:wsp>
                      <wps:cNvCnPr/>
                      <wps:spPr>
                        <a:xfrm flipV="1">
                          <a:off x="0" y="0"/>
                          <a:ext cx="0" cy="2760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0B460D" id="Gerade Verbindung mit Pfeil 13" o:spid="_x0000_s1026" type="#_x0000_t32" style="position:absolute;margin-left:118.65pt;margin-top:17.2pt;width:0;height:21.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" strokecolor="black [3040]">
                <v:stroke endarrow="open"/>
              </v:shape>
            </w:pict>
          </mc:Fallback>
        </mc:AlternateContent>
      </w:r>
      <m:oMath>
        <m:r>
          <m:rPr>
            <m:sty m:val="p"/>
          </m:rPr>
          <w:rPr>
            <w:rFonts w:ascii="Cambria Math" w:hAnsi="Cambria Math"/>
            <w:color w:val="1F497D" w:themeColor="text2"/>
          </w:rPr>
          <m:t xml:space="preserve"> C</m:t>
        </m:r>
        <m:sSup>
          <m:sSupPr>
            <m:ctrlPr>
              <w:rPr>
                <w:rFonts w:ascii="Cambria Math" w:hAnsi="Cambria Math"/>
                <w:color w:val="1F497D" w:themeColor="text2"/>
              </w:rPr>
            </m:ctrlPr>
          </m:sSupPr>
          <m:e>
            <m:r>
              <m:rPr>
                <m:sty m:val="p"/>
              </m:rPr>
              <w:rPr>
                <w:rFonts w:ascii="Cambria Math" w:hAnsi="Cambria Math"/>
                <w:color w:val="1F497D" w:themeColor="text2"/>
              </w:rPr>
              <m:t>l</m:t>
            </m:r>
          </m:e>
          <m:sup>
            <m:r>
              <m:rPr>
                <m:sty m:val="p"/>
              </m:rPr>
              <w:rPr>
                <w:rFonts w:ascii="Cambria Math" w:hAnsi="Cambria Math"/>
                <w:color w:val="1F497D" w:themeColor="text2"/>
              </w:rPr>
              <m:t>-</m:t>
            </m:r>
          </m:sup>
        </m:sSup>
        <m:r>
          <m:rPr>
            <m:sty m:val="p"/>
          </m:rPr>
          <w:rPr>
            <w:rFonts w:ascii="Cambria Math" w:hAnsi="Cambria Math"/>
            <w:color w:val="1F497D" w:themeColor="text2"/>
          </w:rPr>
          <m:t>+ N</m:t>
        </m:r>
        <m:sSup>
          <m:sSupPr>
            <m:ctrlPr>
              <w:rPr>
                <w:rFonts w:ascii="Cambria Math" w:hAnsi="Cambria Math"/>
                <w:color w:val="1F497D" w:themeColor="text2"/>
              </w:rPr>
            </m:ctrlPr>
          </m:sSupPr>
          <m:e>
            <m:r>
              <m:rPr>
                <m:sty m:val="p"/>
              </m:rPr>
              <w:rPr>
                <w:rFonts w:ascii="Cambria Math" w:hAnsi="Cambria Math"/>
                <w:color w:val="1F497D" w:themeColor="text2"/>
              </w:rPr>
              <m:t>a</m:t>
            </m:r>
          </m:e>
          <m:sup>
            <m:r>
              <m:rPr>
                <m:sty m:val="p"/>
              </m:rPr>
              <w:rPr>
                <w:rFonts w:ascii="Cambria Math" w:hAnsi="Cambria Math"/>
                <w:color w:val="1F497D" w:themeColor="text2"/>
              </w:rPr>
              <m:t>+</m:t>
            </m:r>
          </m:sup>
        </m:sSup>
        <m:r>
          <m:rPr>
            <m:sty m:val="p"/>
          </m:rPr>
          <w:rPr>
            <w:rFonts w:ascii="Cambria Math" w:hAnsi="Cambria Math"/>
            <w:color w:val="1F497D" w:themeColor="text2"/>
          </w:rPr>
          <m:t xml:space="preserve">+ </m:t>
        </m:r>
        <m:sSub>
          <m:sSubPr>
            <m:ctrlPr>
              <w:rPr>
                <w:rFonts w:ascii="Cambria Math" w:hAnsi="Cambria Math"/>
                <w:color w:val="1F497D" w:themeColor="text2"/>
              </w:rPr>
            </m:ctrlPr>
          </m:sSubPr>
          <m:e>
            <m:r>
              <m:rPr>
                <m:sty m:val="p"/>
              </m:rPr>
              <w:rPr>
                <w:rFonts w:ascii="Cambria Math" w:hAnsi="Cambria Math"/>
                <w:color w:val="1F497D" w:themeColor="text2"/>
              </w:rPr>
              <m:t>H</m:t>
            </m:r>
          </m:e>
          <m:sub>
            <m:r>
              <m:rPr>
                <m:sty m:val="p"/>
              </m:rPr>
              <w:rPr>
                <w:rFonts w:ascii="Cambria Math" w:hAnsi="Cambria Math"/>
                <w:color w:val="1F497D" w:themeColor="text2"/>
              </w:rPr>
              <m:t>2</m:t>
            </m:r>
          </m:sub>
        </m:sSub>
        <m:sSub>
          <m:sSubPr>
            <m:ctrlPr>
              <w:rPr>
                <w:rFonts w:ascii="Cambria Math" w:hAnsi="Cambria Math"/>
                <w:color w:val="1F497D" w:themeColor="text2"/>
              </w:rPr>
            </m:ctrlPr>
          </m:sSubPr>
          <m:e>
            <m:r>
              <m:rPr>
                <m:sty m:val="p"/>
              </m:rPr>
              <w:rPr>
                <w:rFonts w:ascii="Cambria Math" w:hAnsi="Cambria Math"/>
                <w:color w:val="1F497D" w:themeColor="text2"/>
              </w:rPr>
              <m:t>SO</m:t>
            </m:r>
          </m:e>
          <m:sub>
            <m:r>
              <m:rPr>
                <m:sty m:val="p"/>
              </m:rPr>
              <w:rPr>
                <w:rFonts w:ascii="Cambria Math" w:hAnsi="Cambria Math"/>
                <w:color w:val="1F497D" w:themeColor="text2"/>
              </w:rPr>
              <m:t>4 (l)</m:t>
            </m:r>
          </m:sub>
        </m:sSub>
        <m:r>
          <m:rPr>
            <m:sty m:val="p"/>
          </m:rPr>
          <w:rPr>
            <w:rFonts w:ascii="Cambria Math" w:hAnsi="Cambria Math"/>
            <w:color w:val="1F497D" w:themeColor="text2"/>
          </w:rPr>
          <m:t xml:space="preserve"> → NaH</m:t>
        </m:r>
        <m:sSub>
          <m:sSubPr>
            <m:ctrlPr>
              <w:rPr>
                <w:rFonts w:ascii="Cambria Math" w:hAnsi="Cambria Math"/>
                <w:color w:val="1F497D" w:themeColor="text2"/>
              </w:rPr>
            </m:ctrlPr>
          </m:sSubPr>
          <m:e>
            <m:r>
              <m:rPr>
                <m:sty m:val="p"/>
              </m:rPr>
              <w:rPr>
                <w:rFonts w:ascii="Cambria Math" w:hAnsi="Cambria Math"/>
                <w:color w:val="1F497D" w:themeColor="text2"/>
              </w:rPr>
              <m:t>SO</m:t>
            </m:r>
          </m:e>
          <m:sub>
            <m:r>
              <m:rPr>
                <m:sty m:val="p"/>
              </m:rPr>
              <w:rPr>
                <w:rFonts w:ascii="Cambria Math" w:hAnsi="Cambria Math"/>
                <w:color w:val="1F497D" w:themeColor="text2"/>
              </w:rPr>
              <m:t>4(s)</m:t>
            </m:r>
          </m:sub>
        </m:sSub>
        <m:r>
          <m:rPr>
            <m:sty m:val="p"/>
          </m:rPr>
          <w:rPr>
            <w:rFonts w:ascii="Cambria Math" w:hAnsi="Cambria Math"/>
            <w:color w:val="1F497D" w:themeColor="text2"/>
          </w:rPr>
          <m:t>+2 HC</m:t>
        </m:r>
        <m:sSub>
          <m:sSubPr>
            <m:ctrlPr>
              <w:rPr>
                <w:rFonts w:ascii="Cambria Math" w:hAnsi="Cambria Math"/>
                <w:color w:val="1F497D" w:themeColor="text2"/>
              </w:rPr>
            </m:ctrlPr>
          </m:sSubPr>
          <m:e>
            <m:r>
              <m:rPr>
                <m:sty m:val="p"/>
              </m:rPr>
              <w:rPr>
                <w:rFonts w:ascii="Cambria Math" w:hAnsi="Cambria Math"/>
                <w:color w:val="1F497D" w:themeColor="text2"/>
              </w:rPr>
              <m:t>l</m:t>
            </m:r>
          </m:e>
          <m:sub>
            <m:r>
              <m:rPr>
                <m:sty m:val="p"/>
              </m:rPr>
              <w:rPr>
                <w:rFonts w:ascii="Cambria Math" w:hAnsi="Cambria Math"/>
                <w:color w:val="1F497D" w:themeColor="text2"/>
              </w:rPr>
              <m:t>(g)</m:t>
            </m:r>
          </m:sub>
        </m:sSub>
      </m:oMath>
    </w:p>
    <w:p w14:paraId="42E44995" w14:textId="77777777" w:rsidR="00963B0C" w:rsidRDefault="00EC3ADA" w:rsidP="003804A7">
      <w:pPr>
        <w:rPr>
          <w:color w:val="1F497D" w:themeColor="text2"/>
        </w:rPr>
      </w:pPr>
      <w:r w:rsidRPr="008A3507">
        <w:rPr>
          <w:noProof/>
          <w:color w:val="1F497D" w:themeColor="text2"/>
          <w:lang w:eastAsia="de-DE"/>
        </w:rPr>
        <mc:AlternateContent>
          <mc:Choice Requires="wps">
            <w:drawing>
              <wp:anchor distT="0" distB="0" distL="114300" distR="114300" simplePos="0" relativeHeight="251682816" behindDoc="0" locked="0" layoutInCell="1" allowOverlap="1" wp14:anchorId="44317EF1" wp14:editId="39DFB3E0">
                <wp:simplePos x="0" y="0"/>
                <wp:positionH relativeFrom="column">
                  <wp:posOffset>851367</wp:posOffset>
                </wp:positionH>
                <wp:positionV relativeFrom="paragraph">
                  <wp:posOffset>99204</wp:posOffset>
                </wp:positionV>
                <wp:extent cx="1440300" cy="508000"/>
                <wp:effectExtent l="0" t="0" r="26670" b="254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300" cy="50800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747BE057" w14:textId="77777777" w:rsidR="003804A7" w:rsidRPr="00963B0C" w:rsidRDefault="003804A7">
                            <w:pPr>
                              <w:rPr>
                                <w:color w:val="1F497D" w:themeColor="text2"/>
                              </w:rPr>
                            </w:pPr>
                            <w:r w:rsidRPr="00963B0C">
                              <w:rPr>
                                <w:color w:val="1F497D" w:themeColor="text2"/>
                              </w:rPr>
                              <w:t>Protonenakzeptor</w:t>
                            </w:r>
                            <w:r w:rsidR="00963B0C" w:rsidRPr="00963B0C">
                              <w:rPr>
                                <w:color w:val="1F497D" w:themeColor="text2"/>
                              </w:rPr>
                              <w:t>/</w:t>
                            </w:r>
                            <w:r w:rsidR="00EC3ADA" w:rsidRPr="00963B0C">
                              <w:rPr>
                                <w:color w:val="1F497D" w:themeColor="text2"/>
                              </w:rPr>
                              <w:t xml:space="preserve"> Brønsted-Base</w:t>
                            </w:r>
                          </w:p>
                          <w:p w14:paraId="4F5A720D" w14:textId="77777777" w:rsidR="00EC3ADA" w:rsidRPr="008A3507" w:rsidRDefault="00EC3ADA">
                            <w:pPr>
                              <w:rPr>
                                <w:color w:val="1F497D" w:themeColor="text2"/>
                              </w:rPr>
                            </w:pPr>
                            <w:r>
                              <w:rPr>
                                <w:color w:val="auto"/>
                              </w:rPr>
                              <w:t>Brønsted-Base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7EF1" id="_x0000_s1034" type="#_x0000_t202" style="position:absolute;left:0;text-align:left;margin-left:67.05pt;margin-top:7.8pt;width:113.4pt;height:4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" fillcolor="white [3201]" strokecolor="black [3200]" strokeweight=".25pt">
                <v:textbox>
                  <w:txbxContent>
                    <w:p w14:paraId="747BE057" w14:textId="77777777" w:rsidR="003804A7" w:rsidRPr="00963B0C" w:rsidRDefault="003804A7">
                      <w:pPr>
                        <w:rPr>
                          <w:color w:val="1F497D" w:themeColor="text2"/>
                        </w:rPr>
                      </w:pPr>
                      <w:r w:rsidRPr="00963B0C">
                        <w:rPr>
                          <w:color w:val="1F497D" w:themeColor="text2"/>
                        </w:rPr>
                        <w:t>Protonenakzeptor</w:t>
                      </w:r>
                      <w:r w:rsidR="00963B0C" w:rsidRPr="00963B0C">
                        <w:rPr>
                          <w:color w:val="1F497D" w:themeColor="text2"/>
                        </w:rPr>
                        <w:t>/</w:t>
                      </w:r>
                      <w:r w:rsidR="00EC3ADA" w:rsidRPr="00963B0C">
                        <w:rPr>
                          <w:color w:val="1F497D" w:themeColor="text2"/>
                        </w:rPr>
                        <w:t xml:space="preserve"> Brønsted-Base</w:t>
                      </w:r>
                    </w:p>
                    <w:p w14:paraId="4F5A720D" w14:textId="77777777" w:rsidR="00EC3ADA" w:rsidRPr="008A3507" w:rsidRDefault="00EC3ADA">
                      <w:pPr>
                        <w:rPr>
                          <w:color w:val="1F497D" w:themeColor="text2"/>
                        </w:rPr>
                      </w:pPr>
                      <w:r>
                        <w:rPr>
                          <w:color w:val="auto"/>
                        </w:rPr>
                        <w:t>Brønsted-Base</w:t>
                      </w:r>
                    </w:p>
                  </w:txbxContent>
                </v:textbox>
              </v:shape>
            </w:pict>
          </mc:Fallback>
        </mc:AlternateContent>
      </w:r>
      <w:r w:rsidR="003804A7" w:rsidRPr="008A3507">
        <w:rPr>
          <w:noProof/>
          <w:color w:val="1F497D" w:themeColor="text2"/>
          <w:lang w:eastAsia="de-DE"/>
        </w:rPr>
        <mc:AlternateContent>
          <mc:Choice Requires="wps">
            <w:drawing>
              <wp:anchor distT="0" distB="0" distL="114300" distR="114300" simplePos="0" relativeHeight="251684864" behindDoc="0" locked="0" layoutInCell="1" allowOverlap="1" wp14:anchorId="5604676C" wp14:editId="02008C48">
                <wp:simplePos x="0" y="0"/>
                <wp:positionH relativeFrom="column">
                  <wp:posOffset>2360989</wp:posOffset>
                </wp:positionH>
                <wp:positionV relativeFrom="paragraph">
                  <wp:posOffset>107830</wp:posOffset>
                </wp:positionV>
                <wp:extent cx="1552755" cy="500332"/>
                <wp:effectExtent l="0" t="0" r="285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755" cy="500332"/>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2A4D33F" w14:textId="77777777" w:rsidR="003804A7" w:rsidRPr="00963B0C" w:rsidRDefault="003804A7" w:rsidP="003804A7">
                            <w:pPr>
                              <w:rPr>
                                <w:color w:val="1F497D" w:themeColor="text2"/>
                              </w:rPr>
                            </w:pPr>
                            <w:r w:rsidRPr="00963B0C">
                              <w:rPr>
                                <w:color w:val="1F497D" w:themeColor="text2"/>
                              </w:rPr>
                              <w:t>Protonendonator</w:t>
                            </w:r>
                            <w:r w:rsidR="00963B0C" w:rsidRPr="00963B0C">
                              <w:rPr>
                                <w:color w:val="1F497D" w:themeColor="text2"/>
                              </w:rPr>
                              <w:t>/</w:t>
                            </w:r>
                            <w:r w:rsidR="00EC3ADA" w:rsidRPr="00963B0C">
                              <w:rPr>
                                <w:color w:val="1F497D" w:themeColor="text2"/>
                              </w:rPr>
                              <w:t xml:space="preserve"> Brønsted-Säure</w:t>
                            </w:r>
                          </w:p>
                          <w:p w14:paraId="4848E4D7" w14:textId="77777777" w:rsidR="00EC3ADA" w:rsidRPr="008A3507" w:rsidRDefault="00EC3ADA" w:rsidP="003804A7">
                            <w:pPr>
                              <w:rPr>
                                <w:color w:val="1F497D" w:themeColor="text2"/>
                              </w:rPr>
                            </w:pPr>
                            <w:r>
                              <w:rPr>
                                <w:color w:val="auto"/>
                              </w:rPr>
                              <w:t>Brønsted-Säure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4676C" id="_x0000_s1035" type="#_x0000_t202" style="position:absolute;left:0;text-align:left;margin-left:185.9pt;margin-top:8.5pt;width:122.25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" fillcolor="white [3201]" strokecolor="black [3200]" strokeweight=".25pt">
                <v:textbox>
                  <w:txbxContent>
                    <w:p w14:paraId="42A4D33F" w14:textId="77777777" w:rsidR="003804A7" w:rsidRPr="00963B0C" w:rsidRDefault="003804A7" w:rsidP="003804A7">
                      <w:pPr>
                        <w:rPr>
                          <w:color w:val="1F497D" w:themeColor="text2"/>
                        </w:rPr>
                      </w:pPr>
                      <w:r w:rsidRPr="00963B0C">
                        <w:rPr>
                          <w:color w:val="1F497D" w:themeColor="text2"/>
                        </w:rPr>
                        <w:t>Protonendonator</w:t>
                      </w:r>
                      <w:r w:rsidR="00963B0C" w:rsidRPr="00963B0C">
                        <w:rPr>
                          <w:color w:val="1F497D" w:themeColor="text2"/>
                        </w:rPr>
                        <w:t>/</w:t>
                      </w:r>
                      <w:r w:rsidR="00EC3ADA" w:rsidRPr="00963B0C">
                        <w:rPr>
                          <w:color w:val="1F497D" w:themeColor="text2"/>
                        </w:rPr>
                        <w:t xml:space="preserve"> Brønsted-Säure</w:t>
                      </w:r>
                    </w:p>
                    <w:p w14:paraId="4848E4D7" w14:textId="77777777" w:rsidR="00EC3ADA" w:rsidRPr="008A3507" w:rsidRDefault="00EC3ADA" w:rsidP="003804A7">
                      <w:pPr>
                        <w:rPr>
                          <w:color w:val="1F497D" w:themeColor="text2"/>
                        </w:rPr>
                      </w:pPr>
                      <w:r>
                        <w:rPr>
                          <w:color w:val="auto"/>
                        </w:rPr>
                        <w:t>Brønsted-Säure</w:t>
                      </w:r>
                    </w:p>
                  </w:txbxContent>
                </v:textbox>
              </v:shape>
            </w:pict>
          </mc:Fallback>
        </mc:AlternateContent>
      </w:r>
    </w:p>
    <w:p w14:paraId="4AE7AB2D" w14:textId="77777777" w:rsidR="00963B0C" w:rsidRDefault="00963B0C" w:rsidP="003804A7">
      <w:pPr>
        <w:rPr>
          <w:color w:val="1F497D" w:themeColor="text2"/>
        </w:rPr>
      </w:pPr>
    </w:p>
    <w:p w14:paraId="349EB337" w14:textId="77777777" w:rsidR="00963B0C" w:rsidRDefault="00963B0C" w:rsidP="003804A7">
      <w:pPr>
        <w:rPr>
          <w:color w:val="1F497D" w:themeColor="text2"/>
        </w:rPr>
      </w:pPr>
    </w:p>
    <w:p w14:paraId="474E24F7" w14:textId="77777777" w:rsidR="008A3507" w:rsidRPr="00963B0C" w:rsidRDefault="003804A7" w:rsidP="003804A7">
      <w:pPr>
        <w:rPr>
          <w:color w:val="1F497D" w:themeColor="text2"/>
        </w:rPr>
      </w:pPr>
      <w:r>
        <w:t xml:space="preserve">Aufgabe 3: </w:t>
      </w:r>
      <w:r w:rsidR="008A3507">
        <w:t xml:space="preserve"> Sodbrennen und saures Aufstoßen lassen sich meist gut mit Hilfe einer medikamentösen Therapie beheben bzw. verbessern. Magensäure besteht zum größten Teil aus Salzsäure. Damit das saure Aufstoßen gemindert werden kann</w:t>
      </w:r>
      <w:r w:rsidR="00232321">
        <w:t>,</w:t>
      </w:r>
      <w:r w:rsidR="008A3507">
        <w:t xml:space="preserve"> </w:t>
      </w:r>
      <w:r w:rsidR="00232321">
        <w:t>werden Präparate angewendet</w:t>
      </w:r>
      <w:r w:rsidR="008A3507">
        <w:t>, die Aluminiumhydroxid enthalten haben, die Säure zu neutralisieren.</w:t>
      </w:r>
    </w:p>
    <w:p w14:paraId="1BECE55C" w14:textId="77777777" w:rsidR="008A3507" w:rsidRPr="008A3507" w:rsidRDefault="008A3507" w:rsidP="003804A7">
      <m:oMathPara>
        <m:oMath>
          <m:r>
            <m:rPr>
              <m:sty m:val="p"/>
            </m:rPr>
            <w:rPr>
              <w:rFonts w:ascii="Cambria Math" w:hAnsi="Cambria Math"/>
            </w:rPr>
            <m:t>Al(OH</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3</m:t>
              </m:r>
            </m:sub>
          </m:sSub>
          <m:r>
            <m:rPr>
              <m:sty m:val="p"/>
            </m:rPr>
            <w:rPr>
              <w:rFonts w:ascii="Cambria Math" w:hAnsi="Cambria Math"/>
            </w:rPr>
            <m:t>+3 HCl →AlC</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3</m:t>
              </m:r>
            </m:sub>
          </m:sSub>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oMath>
      </m:oMathPara>
    </w:p>
    <w:bookmarkEnd w:id="7"/>
    <w:p w14:paraId="6A27B4CA" w14:textId="77777777" w:rsidR="003804A7" w:rsidRPr="003804A7" w:rsidRDefault="003804A7" w:rsidP="003804A7"/>
    <w:sectPr w:rsidR="003804A7" w:rsidRPr="003804A7" w:rsidSect="00A0582F">
      <w:headerReference w:type="default" r:id="rId3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A8EFB" w14:textId="77777777" w:rsidR="00CE688A" w:rsidRDefault="00CE688A">
      <w:pPr>
        <w:spacing w:after="0" w:line="240" w:lineRule="auto"/>
      </w:pPr>
      <w:r>
        <w:separator/>
      </w:r>
    </w:p>
  </w:endnote>
  <w:endnote w:type="continuationSeparator" w:id="0">
    <w:p w14:paraId="4BA83B20" w14:textId="77777777" w:rsidR="00CE688A" w:rsidRDefault="00CE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3DFCB" w14:textId="77777777" w:rsidR="00E54798" w:rsidRDefault="00CE688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B23E" w14:textId="77777777" w:rsidR="00E54798" w:rsidRDefault="00CE688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DCC8" w14:textId="77777777" w:rsidR="00E54798" w:rsidRDefault="00CE688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17A96" w14:textId="77777777" w:rsidR="00CE688A" w:rsidRDefault="00CE688A">
      <w:pPr>
        <w:spacing w:after="0" w:line="240" w:lineRule="auto"/>
      </w:pPr>
      <w:r>
        <w:separator/>
      </w:r>
    </w:p>
  </w:footnote>
  <w:footnote w:type="continuationSeparator" w:id="0">
    <w:p w14:paraId="2612697C" w14:textId="77777777" w:rsidR="00CE688A" w:rsidRDefault="00CE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99CE" w14:textId="77777777" w:rsidR="00E54798" w:rsidRDefault="00CE688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79B08C10" w14:textId="77777777" w:rsidR="006A0F35" w:rsidRPr="0080101C" w:rsidRDefault="00CE688A"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7304B" w:rsidRPr="0067304B">
          <w:rPr>
            <w:b/>
            <w:bCs/>
            <w:noProof/>
            <w:sz w:val="20"/>
          </w:rPr>
          <w:t>4</w:t>
        </w:r>
        <w:r>
          <w:rPr>
            <w:b/>
            <w:bCs/>
            <w:noProof/>
            <w:sz w:val="20"/>
          </w:rPr>
          <w:fldChar w:fldCharType="end"/>
        </w:r>
        <w:r w:rsidR="003B64E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7304B">
          <w:rPr>
            <w:noProof/>
          </w:rPr>
          <w:t>Schülerversuch – Leitfähigkeit von sauren Lösungen</w:t>
        </w:r>
        <w:r>
          <w:rPr>
            <w:noProof/>
          </w:rPr>
          <w:fldChar w:fldCharType="end"/>
        </w:r>
        <w:r w:rsidR="003B64EF" w:rsidRPr="0080101C">
          <w:rPr>
            <w:rFonts w:asciiTheme="majorHAnsi" w:hAnsiTheme="majorHAnsi"/>
            <w:sz w:val="20"/>
            <w:szCs w:val="20"/>
          </w:rPr>
          <w:tab/>
        </w:r>
        <w:r w:rsidR="003B64EF" w:rsidRPr="0080101C">
          <w:rPr>
            <w:rFonts w:asciiTheme="majorHAnsi" w:hAnsiTheme="majorHAnsi"/>
            <w:sz w:val="20"/>
            <w:szCs w:val="20"/>
          </w:rPr>
          <w:tab/>
        </w:r>
        <w:r w:rsidR="003B64EF" w:rsidRPr="0080101C">
          <w:rPr>
            <w:rFonts w:asciiTheme="majorHAnsi" w:hAnsiTheme="majorHAnsi" w:cs="Arial"/>
            <w:sz w:val="20"/>
            <w:szCs w:val="20"/>
          </w:rPr>
          <w:t xml:space="preserve"> </w:t>
        </w:r>
      </w:p>
    </w:sdtContent>
  </w:sdt>
  <w:p w14:paraId="04FA3DF9" w14:textId="77777777" w:rsidR="006A0F35" w:rsidRPr="00337B69" w:rsidRDefault="00011533"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7216" behindDoc="0" locked="0" layoutInCell="1" allowOverlap="1" wp14:anchorId="27C05E0B" wp14:editId="19E49115">
              <wp:simplePos x="0" y="0"/>
              <wp:positionH relativeFrom="column">
                <wp:posOffset>-42545</wp:posOffset>
              </wp:positionH>
              <wp:positionV relativeFrom="paragraph">
                <wp:posOffset>38735</wp:posOffset>
              </wp:positionV>
              <wp:extent cx="5867400" cy="635"/>
              <wp:effectExtent l="9525" t="13970" r="9525" b="1397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A1743" id="_x0000_t32" coordsize="21600,21600" o:spt="32" o:oned="t" path="m,l21600,21600e" filled="f">
              <v:path arrowok="t" fillok="f" o:connecttype="none"/>
              <o:lock v:ext="edit" shapetype="t"/>
            </v:shapetype>
            <v:shape id="Gerade Verbindung mit Pfeil 10" o:spid="_x0000_s1026" type="#_x0000_t32" style="position:absolute;margin-left:-3.35pt;margin-top:3.05pt;width:462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7534" w14:textId="77777777" w:rsidR="00E54798" w:rsidRDefault="00CE688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14:paraId="6159309F" w14:textId="77777777" w:rsidR="006A0F35" w:rsidRPr="00337B69" w:rsidRDefault="00CE688A" w:rsidP="00337B69">
        <w:pPr>
          <w:pStyle w:val="Kopfzeile"/>
          <w:tabs>
            <w:tab w:val="left" w:pos="0"/>
            <w:tab w:val="left" w:pos="284"/>
          </w:tabs>
          <w:jc w:val="right"/>
          <w:rPr>
            <w:rFonts w:asciiTheme="majorHAnsi" w:hAnsiTheme="majorHAnsi"/>
            <w:sz w:val="20"/>
            <w:szCs w:val="20"/>
          </w:rPr>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005671BA" w14:textId="77777777" w:rsidR="006A0F35" w:rsidRPr="0080101C" w:rsidRDefault="00CE688A"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67304B" w:rsidRPr="0067304B">
          <w:rPr>
            <w:b/>
            <w:bCs/>
            <w:noProof/>
            <w:sz w:val="20"/>
          </w:rPr>
          <w:t>5</w:t>
        </w:r>
        <w:r>
          <w:rPr>
            <w:b/>
            <w:bCs/>
            <w:noProof/>
            <w:sz w:val="20"/>
          </w:rPr>
          <w:fldChar w:fldCharType="end"/>
        </w:r>
        <w:r w:rsidR="003B64EF"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67304B">
          <w:rPr>
            <w:noProof/>
          </w:rPr>
          <w:t>Didaktischer Kommentar zum Schülerarbeitsblatt</w:t>
        </w:r>
        <w:r>
          <w:rPr>
            <w:noProof/>
          </w:rPr>
          <w:fldChar w:fldCharType="end"/>
        </w:r>
        <w:r w:rsidR="003B64EF" w:rsidRPr="0080101C">
          <w:rPr>
            <w:rFonts w:asciiTheme="majorHAnsi" w:hAnsiTheme="majorHAnsi"/>
            <w:sz w:val="20"/>
            <w:szCs w:val="20"/>
          </w:rPr>
          <w:tab/>
        </w:r>
        <w:r w:rsidR="003B64EF" w:rsidRPr="0080101C">
          <w:rPr>
            <w:rFonts w:asciiTheme="majorHAnsi" w:hAnsiTheme="majorHAnsi"/>
            <w:sz w:val="20"/>
            <w:szCs w:val="20"/>
          </w:rPr>
          <w:tab/>
        </w:r>
        <w:r w:rsidR="003B64EF" w:rsidRPr="0080101C">
          <w:rPr>
            <w:rFonts w:asciiTheme="majorHAnsi" w:hAnsiTheme="majorHAnsi" w:cs="Arial"/>
            <w:sz w:val="20"/>
            <w:szCs w:val="20"/>
          </w:rPr>
          <w:t xml:space="preserve"> </w:t>
        </w:r>
      </w:p>
    </w:sdtContent>
  </w:sdt>
  <w:p w14:paraId="0F558F6A" w14:textId="77777777" w:rsidR="006A0F35" w:rsidRPr="0080101C" w:rsidRDefault="00011533"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709E983C" wp14:editId="0F432C30">
              <wp:simplePos x="0" y="0"/>
              <wp:positionH relativeFrom="column">
                <wp:posOffset>-42545</wp:posOffset>
              </wp:positionH>
              <wp:positionV relativeFrom="paragraph">
                <wp:posOffset>38735</wp:posOffset>
              </wp:positionV>
              <wp:extent cx="5867400" cy="635"/>
              <wp:effectExtent l="9525" t="13970" r="9525" b="1397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1E6C9" id="_x0000_t32" coordsize="21600,21600" o:spt="32" o:oned="t" path="m,l21600,21600e" filled="f">
              <v:path arrowok="t" fillok="f" o:connecttype="none"/>
              <o:lock v:ext="edit" shapetype="t"/>
            </v:shapetype>
            <v:shape id="Gerade Verbindung mit Pfeil 9"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7DFE5981"/>
    <w:multiLevelType w:val="hybridMultilevel"/>
    <w:tmpl w:val="1632D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8F"/>
    <w:rsid w:val="00011533"/>
    <w:rsid w:val="000724C3"/>
    <w:rsid w:val="00075F1D"/>
    <w:rsid w:val="000845F8"/>
    <w:rsid w:val="000926BA"/>
    <w:rsid w:val="000C6438"/>
    <w:rsid w:val="000E23F6"/>
    <w:rsid w:val="00106ACC"/>
    <w:rsid w:val="001079E1"/>
    <w:rsid w:val="001171B0"/>
    <w:rsid w:val="001A0523"/>
    <w:rsid w:val="001A4E59"/>
    <w:rsid w:val="00232321"/>
    <w:rsid w:val="002D7615"/>
    <w:rsid w:val="00336043"/>
    <w:rsid w:val="00355E63"/>
    <w:rsid w:val="003804A7"/>
    <w:rsid w:val="00382122"/>
    <w:rsid w:val="003B64EF"/>
    <w:rsid w:val="003D3F07"/>
    <w:rsid w:val="003D4BE6"/>
    <w:rsid w:val="00456E53"/>
    <w:rsid w:val="00496661"/>
    <w:rsid w:val="00496ACF"/>
    <w:rsid w:val="00536EB2"/>
    <w:rsid w:val="005E754B"/>
    <w:rsid w:val="005F53CE"/>
    <w:rsid w:val="00655973"/>
    <w:rsid w:val="0067304B"/>
    <w:rsid w:val="00677AA0"/>
    <w:rsid w:val="00683389"/>
    <w:rsid w:val="006C2DDC"/>
    <w:rsid w:val="006F2A5C"/>
    <w:rsid w:val="007235E4"/>
    <w:rsid w:val="00743083"/>
    <w:rsid w:val="00747B7B"/>
    <w:rsid w:val="007863D6"/>
    <w:rsid w:val="007B3EA2"/>
    <w:rsid w:val="007C7198"/>
    <w:rsid w:val="008055C7"/>
    <w:rsid w:val="00863D95"/>
    <w:rsid w:val="008A3507"/>
    <w:rsid w:val="009002F7"/>
    <w:rsid w:val="00910B2C"/>
    <w:rsid w:val="00957005"/>
    <w:rsid w:val="00963B0C"/>
    <w:rsid w:val="0096501D"/>
    <w:rsid w:val="009A00D5"/>
    <w:rsid w:val="00A97210"/>
    <w:rsid w:val="00AA3B59"/>
    <w:rsid w:val="00AB29F1"/>
    <w:rsid w:val="00AD1E3A"/>
    <w:rsid w:val="00AE11C8"/>
    <w:rsid w:val="00B1348F"/>
    <w:rsid w:val="00B46E40"/>
    <w:rsid w:val="00B55D17"/>
    <w:rsid w:val="00B96865"/>
    <w:rsid w:val="00BA2DB1"/>
    <w:rsid w:val="00BA5BDE"/>
    <w:rsid w:val="00BB5CE2"/>
    <w:rsid w:val="00BD685D"/>
    <w:rsid w:val="00BF023E"/>
    <w:rsid w:val="00C05768"/>
    <w:rsid w:val="00C62266"/>
    <w:rsid w:val="00CE688A"/>
    <w:rsid w:val="00D066B4"/>
    <w:rsid w:val="00D14E56"/>
    <w:rsid w:val="00D177A9"/>
    <w:rsid w:val="00D266BD"/>
    <w:rsid w:val="00E86BEC"/>
    <w:rsid w:val="00EC3ADA"/>
    <w:rsid w:val="00ED449A"/>
    <w:rsid w:val="00F07BDE"/>
    <w:rsid w:val="00F238DF"/>
    <w:rsid w:val="00F423C9"/>
    <w:rsid w:val="00F558E2"/>
    <w:rsid w:val="00F62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2CA16"/>
  <w15:docId w15:val="{5B7E6115-29BB-410F-9AA0-E175FFF6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153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3D4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D4B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11533"/>
    <w:pPr>
      <w:keepNext/>
      <w:keepLines/>
      <w:spacing w:before="200" w:after="120"/>
      <w:ind w:left="720" w:hanging="7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11533"/>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11533"/>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11533"/>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11533"/>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11533"/>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11533"/>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4BE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D4BE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1153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1153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1153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1153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1153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115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1153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11533"/>
    <w:pPr>
      <w:spacing w:line="240" w:lineRule="auto"/>
    </w:pPr>
    <w:rPr>
      <w:bCs/>
      <w:color w:val="auto"/>
      <w:sz w:val="18"/>
      <w:szCs w:val="18"/>
    </w:rPr>
  </w:style>
  <w:style w:type="paragraph" w:styleId="Listenabsatz">
    <w:name w:val="List Paragraph"/>
    <w:basedOn w:val="Standard"/>
    <w:uiPriority w:val="34"/>
    <w:qFormat/>
    <w:rsid w:val="00011533"/>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011533"/>
    <w:pPr>
      <w:spacing w:before="360"/>
      <w:outlineLvl w:val="9"/>
    </w:pPr>
  </w:style>
  <w:style w:type="paragraph" w:styleId="Kopfzeile">
    <w:name w:val="header"/>
    <w:basedOn w:val="Standard"/>
    <w:link w:val="KopfzeileZchn"/>
    <w:uiPriority w:val="99"/>
    <w:unhideWhenUsed/>
    <w:rsid w:val="000115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1533"/>
    <w:rPr>
      <w:rFonts w:ascii="Cambria" w:hAnsi="Cambria"/>
      <w:color w:val="1D1B11" w:themeColor="background2" w:themeShade="1A"/>
    </w:rPr>
  </w:style>
  <w:style w:type="paragraph" w:styleId="Fuzeile">
    <w:name w:val="footer"/>
    <w:basedOn w:val="Standard"/>
    <w:link w:val="FuzeileZchn"/>
    <w:uiPriority w:val="99"/>
    <w:unhideWhenUsed/>
    <w:rsid w:val="000115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1533"/>
    <w:rPr>
      <w:rFonts w:ascii="Cambria" w:hAnsi="Cambria"/>
      <w:color w:val="1D1B11" w:themeColor="background2" w:themeShade="1A"/>
    </w:rPr>
  </w:style>
  <w:style w:type="character" w:styleId="Hyperlink">
    <w:name w:val="Hyperlink"/>
    <w:basedOn w:val="Absatz-Standardschriftart"/>
    <w:uiPriority w:val="99"/>
    <w:unhideWhenUsed/>
    <w:rsid w:val="00011533"/>
    <w:rPr>
      <w:color w:val="0000FF" w:themeColor="hyperlink"/>
      <w:u w:val="single"/>
    </w:rPr>
  </w:style>
  <w:style w:type="paragraph" w:styleId="Verzeichnis1">
    <w:name w:val="toc 1"/>
    <w:basedOn w:val="Standard"/>
    <w:next w:val="Standard"/>
    <w:autoRedefine/>
    <w:uiPriority w:val="39"/>
    <w:unhideWhenUsed/>
    <w:rsid w:val="00011533"/>
    <w:pPr>
      <w:spacing w:after="100"/>
    </w:pPr>
  </w:style>
  <w:style w:type="paragraph" w:styleId="Verzeichnis2">
    <w:name w:val="toc 2"/>
    <w:basedOn w:val="Standard"/>
    <w:next w:val="Standard"/>
    <w:autoRedefine/>
    <w:uiPriority w:val="39"/>
    <w:unhideWhenUsed/>
    <w:rsid w:val="00011533"/>
    <w:pPr>
      <w:spacing w:after="100"/>
      <w:ind w:left="220"/>
    </w:pPr>
  </w:style>
  <w:style w:type="paragraph" w:styleId="Sprechblasentext">
    <w:name w:val="Balloon Text"/>
    <w:basedOn w:val="Standard"/>
    <w:link w:val="SprechblasentextZchn"/>
    <w:uiPriority w:val="99"/>
    <w:semiHidden/>
    <w:unhideWhenUsed/>
    <w:rsid w:val="000115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1533"/>
    <w:rPr>
      <w:rFonts w:ascii="Tahoma" w:hAnsi="Tahoma" w:cs="Tahoma"/>
      <w:color w:val="1D1B11" w:themeColor="background2" w:themeShade="1A"/>
      <w:sz w:val="16"/>
      <w:szCs w:val="16"/>
    </w:rPr>
  </w:style>
  <w:style w:type="character" w:customStyle="1" w:styleId="apple-converted-space">
    <w:name w:val="apple-converted-space"/>
    <w:basedOn w:val="Absatz-Standardschriftart"/>
    <w:rsid w:val="001079E1"/>
  </w:style>
  <w:style w:type="paragraph" w:styleId="StandardWeb">
    <w:name w:val="Normal (Web)"/>
    <w:basedOn w:val="Standard"/>
    <w:uiPriority w:val="99"/>
    <w:semiHidden/>
    <w:unhideWhenUsed/>
    <w:rsid w:val="00D266BD"/>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character" w:customStyle="1" w:styleId="hervorgehoben">
    <w:name w:val="hervorgehoben"/>
    <w:basedOn w:val="Absatz-Standardschriftart"/>
    <w:rsid w:val="00A97210"/>
  </w:style>
  <w:style w:type="character" w:styleId="Platzhaltertext">
    <w:name w:val="Placeholder Text"/>
    <w:basedOn w:val="Absatz-Standardschriftart"/>
    <w:uiPriority w:val="99"/>
    <w:semiHidden/>
    <w:rsid w:val="000C6438"/>
    <w:rPr>
      <w:color w:val="808080"/>
    </w:rPr>
  </w:style>
  <w:style w:type="paragraph" w:styleId="Verzeichnis3">
    <w:name w:val="toc 3"/>
    <w:basedOn w:val="Standard"/>
    <w:next w:val="Standard"/>
    <w:autoRedefine/>
    <w:uiPriority w:val="39"/>
    <w:unhideWhenUsed/>
    <w:rsid w:val="00957005"/>
    <w:pPr>
      <w:spacing w:after="100"/>
      <w:ind w:left="440"/>
    </w:pPr>
  </w:style>
  <w:style w:type="table" w:styleId="HelleListe-Akzent1">
    <w:name w:val="Light List Accent 1"/>
    <w:basedOn w:val="NormaleTabelle"/>
    <w:uiPriority w:val="61"/>
    <w:rsid w:val="001171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F423C9"/>
    <w:rPr>
      <w:sz w:val="16"/>
      <w:szCs w:val="16"/>
    </w:rPr>
  </w:style>
  <w:style w:type="paragraph" w:styleId="Kommentartext">
    <w:name w:val="annotation text"/>
    <w:basedOn w:val="Standard"/>
    <w:link w:val="KommentartextZchn"/>
    <w:uiPriority w:val="99"/>
    <w:semiHidden/>
    <w:unhideWhenUsed/>
    <w:rsid w:val="00F423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23C9"/>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F423C9"/>
    <w:rPr>
      <w:b/>
      <w:bCs/>
    </w:rPr>
  </w:style>
  <w:style w:type="character" w:customStyle="1" w:styleId="KommentarthemaZchn">
    <w:name w:val="Kommentarthema Zchn"/>
    <w:basedOn w:val="KommentartextZchn"/>
    <w:link w:val="Kommentarthema"/>
    <w:uiPriority w:val="99"/>
    <w:semiHidden/>
    <w:rsid w:val="00F423C9"/>
    <w:rPr>
      <w:rFonts w:ascii="Cambria" w:hAnsi="Cambria"/>
      <w:b/>
      <w:bCs/>
      <w:color w:val="1D1B11" w:themeColor="background2" w:themeShade="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1643">
      <w:bodyDiv w:val="1"/>
      <w:marLeft w:val="0"/>
      <w:marRight w:val="0"/>
      <w:marTop w:val="0"/>
      <w:marBottom w:val="0"/>
      <w:divBdr>
        <w:top w:val="none" w:sz="0" w:space="0" w:color="auto"/>
        <w:left w:val="none" w:sz="0" w:space="0" w:color="auto"/>
        <w:bottom w:val="none" w:sz="0" w:space="0" w:color="auto"/>
        <w:right w:val="none" w:sz="0" w:space="0" w:color="auto"/>
      </w:divBdr>
    </w:div>
    <w:div w:id="182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AAC5-B364-47D7-907D-58111024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1897</Words>
  <Characters>11955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Annika Münch</dc:creator>
  <cp:lastModifiedBy>Annika Münch</cp:lastModifiedBy>
  <cp:revision>2</cp:revision>
  <cp:lastPrinted>2015-08-10T19:42:00Z</cp:lastPrinted>
  <dcterms:created xsi:type="dcterms:W3CDTF">2015-08-22T15:08:00Z</dcterms:created>
  <dcterms:modified xsi:type="dcterms:W3CDTF">2015-08-22T15:08:00Z</dcterms:modified>
</cp:coreProperties>
</file>