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99" w:rsidRDefault="007B5899" w:rsidP="007B5899">
      <w:pPr>
        <w:pStyle w:val="berschrift1"/>
        <w:numPr>
          <w:ilvl w:val="0"/>
          <w:numId w:val="0"/>
        </w:numPr>
        <w:ind w:left="432" w:hanging="432"/>
        <w:rPr>
          <w:color w:val="auto"/>
        </w:rPr>
      </w:pPr>
      <w:bookmarkStart w:id="0" w:name="_Toc425776594"/>
      <w:r w:rsidRPr="00DD1ECA">
        <w:rPr>
          <w:noProof/>
          <w:color w:val="auto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0" o:spid="_x0000_s1027" type="#_x0000_t202" style="position:absolute;left:0;text-align:left;margin-left:-.05pt;margin-top:78.65pt;width:462.45pt;height:122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" fillcolor="white [3201]" strokecolor="#4bacc6 [3208]" strokeweight="1pt">
            <v:stroke dashstyle="dash"/>
            <v:shadow color="#868686"/>
            <v:textbox>
              <w:txbxContent>
                <w:p w:rsidR="007B5899" w:rsidRPr="00D40490" w:rsidRDefault="007B5899" w:rsidP="007B5899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In diesem Lehrerversuch wird Schwefelsäure nach dem Kontaktverfahren dargestellt. Pyrit (FeS</w:t>
                  </w:r>
                  <w:r>
                    <w:rPr>
                      <w:color w:val="auto"/>
                      <w:vertAlign w:val="subscript"/>
                    </w:rPr>
                    <w:t>2</w:t>
                  </w:r>
                  <w:r>
                    <w:rPr>
                      <w:color w:val="auto"/>
                    </w:rPr>
                    <w:t>) wird durch den Sauerstoff der Luft unter Bildung von Schwefeldioxid (SO</w:t>
                  </w:r>
                  <w:r>
                    <w:rPr>
                      <w:color w:val="auto"/>
                      <w:vertAlign w:val="subscript"/>
                    </w:rPr>
                    <w:t>2</w:t>
                  </w:r>
                  <w:r>
                    <w:rPr>
                      <w:color w:val="auto"/>
                    </w:rPr>
                    <w:t>) oxidiert. SO</w:t>
                  </w:r>
                  <w:r>
                    <w:rPr>
                      <w:color w:val="auto"/>
                      <w:vertAlign w:val="subscript"/>
                    </w:rPr>
                    <w:t>2</w:t>
                  </w:r>
                  <w:r>
                    <w:rPr>
                      <w:color w:val="auto"/>
                    </w:rPr>
                    <w:t xml:space="preserve"> wird katalytisch durch Einsatz von Mangan(IV)-Oxid weiter zu </w:t>
                  </w:r>
                  <w:proofErr w:type="spellStart"/>
                  <w:r>
                    <w:rPr>
                      <w:color w:val="auto"/>
                    </w:rPr>
                    <w:t>Schwefeltrioxid</w:t>
                  </w:r>
                  <w:proofErr w:type="spellEnd"/>
                  <w:r>
                    <w:rPr>
                      <w:color w:val="auto"/>
                    </w:rPr>
                    <w:t xml:space="preserve"> (SO</w:t>
                  </w:r>
                  <w:r>
                    <w:rPr>
                      <w:color w:val="auto"/>
                      <w:vertAlign w:val="subscript"/>
                    </w:rPr>
                    <w:t>3</w:t>
                  </w:r>
                  <w:r>
                    <w:rPr>
                      <w:color w:val="auto"/>
                    </w:rPr>
                    <w:t>) oxidiert. Ein Teil dieses Gases setzt sich nach Einleiten in Wasser zu Schwefelsäure (H</w:t>
                  </w:r>
                  <w:r>
                    <w:rPr>
                      <w:color w:val="auto"/>
                      <w:vertAlign w:val="subscript"/>
                    </w:rPr>
                    <w:t>2</w:t>
                  </w:r>
                  <w:r>
                    <w:rPr>
                      <w:color w:val="auto"/>
                    </w:rPr>
                    <w:t>SO</w:t>
                  </w:r>
                  <w:r>
                    <w:rPr>
                      <w:color w:val="auto"/>
                      <w:vertAlign w:val="subscript"/>
                    </w:rPr>
                    <w:t>4</w:t>
                  </w:r>
                  <w:r>
                    <w:rPr>
                      <w:color w:val="auto"/>
                    </w:rPr>
                    <w:t>) um. Die Schwefelsäure kann durch Fällung des Sulfat-</w:t>
                  </w:r>
                  <w:proofErr w:type="spellStart"/>
                  <w:r>
                    <w:rPr>
                      <w:color w:val="auto"/>
                    </w:rPr>
                    <w:t>ions</w:t>
                  </w:r>
                  <w:proofErr w:type="spellEnd"/>
                  <w:r>
                    <w:rPr>
                      <w:color w:val="auto"/>
                    </w:rPr>
                    <w:t xml:space="preserve"> in angesäuerter </w:t>
                  </w:r>
                  <w:proofErr w:type="spellStart"/>
                  <w:r>
                    <w:rPr>
                      <w:color w:val="auto"/>
                    </w:rPr>
                    <w:t>Bariumchlorid</w:t>
                  </w:r>
                  <w:proofErr w:type="spellEnd"/>
                  <w:r>
                    <w:rPr>
                      <w:color w:val="auto"/>
                    </w:rPr>
                    <w:t>-Lösung nachgewiesen werden.</w:t>
                  </w:r>
                </w:p>
              </w:txbxContent>
            </v:textbox>
            <w10:wrap type="square"/>
          </v:shape>
        </w:pict>
      </w:r>
      <w:bookmarkEnd w:id="0"/>
      <w:r w:rsidRPr="0052115F">
        <w:rPr>
          <w:color w:val="auto"/>
        </w:rPr>
        <w:t>„</w:t>
      </w:r>
      <w:r>
        <w:rPr>
          <w:color w:val="auto"/>
        </w:rPr>
        <w:t>Darstellung von Schwefelsäure nach dem Kontaktverfahren</w:t>
      </w:r>
      <w:r w:rsidRPr="0052115F">
        <w:rPr>
          <w:color w:val="auto"/>
        </w:rPr>
        <w:t>“</w:t>
      </w:r>
    </w:p>
    <w:p w:rsidR="007B5899" w:rsidRDefault="007B5899" w:rsidP="007B5899">
      <w:pPr>
        <w:tabs>
          <w:tab w:val="left" w:pos="1701"/>
          <w:tab w:val="left" w:pos="1985"/>
        </w:tabs>
        <w:rPr>
          <w:color w:val="auto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B5899" w:rsidRPr="009C5E28" w:rsidTr="00135934">
        <w:tc>
          <w:tcPr>
            <w:tcW w:w="9322" w:type="dxa"/>
            <w:gridSpan w:val="9"/>
            <w:shd w:val="clear" w:color="auto" w:fill="4F81BD"/>
            <w:vAlign w:val="center"/>
          </w:tcPr>
          <w:p w:rsidR="007B5899" w:rsidRPr="009C5E28" w:rsidRDefault="007B5899" w:rsidP="00135934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7B5899" w:rsidRPr="009C5E28" w:rsidTr="00135934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5899" w:rsidRPr="009C5E28" w:rsidRDefault="007B5899" w:rsidP="00135934">
            <w:pPr>
              <w:spacing w:after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Pyrit 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5899" w:rsidRPr="009C5E28" w:rsidRDefault="007B5899" w:rsidP="00135934"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B5899" w:rsidRPr="009C5E28" w:rsidRDefault="007B5899" w:rsidP="00135934"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7B5899" w:rsidRPr="009C5E28" w:rsidTr="00135934">
        <w:tc>
          <w:tcPr>
            <w:tcW w:w="3027" w:type="dxa"/>
            <w:gridSpan w:val="3"/>
            <w:shd w:val="clear" w:color="auto" w:fill="auto"/>
            <w:vAlign w:val="center"/>
          </w:tcPr>
          <w:p w:rsidR="007B5899" w:rsidRPr="009C5E28" w:rsidRDefault="007B5899" w:rsidP="00135934">
            <w:pPr>
              <w:spacing w:after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Mangan(IV)-Oxid (Braunstein)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B5899" w:rsidRPr="009C5E28" w:rsidRDefault="007B5899" w:rsidP="00135934">
            <w:pPr>
              <w:spacing w:after="0"/>
              <w:rPr>
                <w:color w:val="auto"/>
                <w:sz w:val="20"/>
                <w:szCs w:val="20"/>
              </w:rPr>
            </w:pPr>
            <w:r w:rsidRPr="009C5E28">
              <w:rPr>
                <w:color w:val="auto"/>
                <w:sz w:val="20"/>
                <w:szCs w:val="20"/>
              </w:rPr>
              <w:t xml:space="preserve">H: </w:t>
            </w:r>
            <w:r>
              <w:t>272-302+332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B5899" w:rsidRPr="009C5E28" w:rsidRDefault="007B5899" w:rsidP="00135934"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P:</w:t>
            </w:r>
            <w:r>
              <w:t>221</w:t>
            </w:r>
          </w:p>
        </w:tc>
      </w:tr>
      <w:tr w:rsidR="007B5899" w:rsidRPr="009C5E28" w:rsidTr="00135934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5899" w:rsidRPr="009C5E28" w:rsidRDefault="007B5899" w:rsidP="00135934">
            <w:pPr>
              <w:spacing w:after="0"/>
              <w:rPr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Cs/>
                <w:color w:val="auto"/>
                <w:sz w:val="20"/>
                <w:szCs w:val="20"/>
              </w:rPr>
              <w:t>konz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>. Schwefelsäure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5899" w:rsidRPr="009C5E28" w:rsidRDefault="007B5899" w:rsidP="00135934">
            <w:pPr>
              <w:spacing w:after="0"/>
              <w:rPr>
                <w:color w:val="auto"/>
                <w:sz w:val="20"/>
                <w:szCs w:val="20"/>
              </w:rPr>
            </w:pPr>
            <w:r w:rsidRPr="009C5E28">
              <w:rPr>
                <w:color w:val="auto"/>
                <w:sz w:val="20"/>
                <w:szCs w:val="20"/>
              </w:rPr>
              <w:t xml:space="preserve">H: </w:t>
            </w:r>
            <w:r>
              <w:t>290-314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B5899" w:rsidRPr="009C5E28" w:rsidRDefault="007B5899" w:rsidP="00135934">
            <w:pPr>
              <w:spacing w:after="0"/>
              <w:rPr>
                <w:color w:val="auto"/>
                <w:sz w:val="20"/>
                <w:szCs w:val="20"/>
              </w:rPr>
            </w:pPr>
            <w:r w:rsidRPr="009C5E28">
              <w:rPr>
                <w:color w:val="auto"/>
                <w:sz w:val="20"/>
                <w:szCs w:val="20"/>
              </w:rPr>
              <w:t>P:</w:t>
            </w:r>
            <w:r>
              <w:t>280-301+330+331-305+351++338-309+310</w:t>
            </w:r>
          </w:p>
        </w:tc>
      </w:tr>
      <w:tr w:rsidR="007B5899" w:rsidRPr="009C5E28" w:rsidTr="00135934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5899" w:rsidRDefault="007B5899" w:rsidP="00135934">
            <w:pPr>
              <w:spacing w:after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Schwefeldioxid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5899" w:rsidRDefault="007B5899" w:rsidP="00135934"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H: 331-314-280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B5899" w:rsidRDefault="007B5899" w:rsidP="00135934"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P:260-280-304+340-303+361+353-305+351+338-315-405-403</w:t>
            </w:r>
          </w:p>
        </w:tc>
      </w:tr>
      <w:tr w:rsidR="007B5899" w:rsidRPr="009C5E28" w:rsidTr="00135934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5899" w:rsidRDefault="007B5899" w:rsidP="00135934">
            <w:pPr>
              <w:spacing w:after="0"/>
              <w:rPr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Cs/>
                <w:color w:val="auto"/>
                <w:sz w:val="20"/>
                <w:szCs w:val="20"/>
              </w:rPr>
              <w:t>Schwefeltrioxid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5899" w:rsidRDefault="007B5899" w:rsidP="00135934"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H: 314-335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B5899" w:rsidRDefault="007B5899" w:rsidP="00135934"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7B5899" w:rsidRPr="009C5E28" w:rsidTr="00135934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5899" w:rsidRDefault="007B5899" w:rsidP="00135934">
            <w:pPr>
              <w:spacing w:after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Salzsäure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5899" w:rsidRDefault="007B5899" w:rsidP="00135934"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H:314-335-290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B5899" w:rsidRDefault="007B5899" w:rsidP="00135934"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P:234-260-305+351+338-303+361+353-304+340-309+311-501</w:t>
            </w:r>
          </w:p>
        </w:tc>
      </w:tr>
      <w:tr w:rsidR="007B5899" w:rsidRPr="009C5E28" w:rsidTr="00135934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5899" w:rsidRDefault="007B5899" w:rsidP="00135934">
            <w:pPr>
              <w:spacing w:after="0"/>
              <w:rPr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Cs/>
                <w:color w:val="auto"/>
                <w:sz w:val="20"/>
                <w:szCs w:val="20"/>
              </w:rPr>
              <w:t>Bariumchlorid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5899" w:rsidRDefault="007B5899" w:rsidP="00135934"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H: 301-332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B5899" w:rsidRDefault="007B5899" w:rsidP="00135934"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P: 301+310</w:t>
            </w:r>
          </w:p>
        </w:tc>
      </w:tr>
      <w:tr w:rsidR="007B5899" w:rsidRPr="009C5E28" w:rsidTr="00135934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5899" w:rsidRDefault="007B5899" w:rsidP="00135934">
            <w:pPr>
              <w:spacing w:after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Eisen(III)-Oxid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B5899" w:rsidRDefault="007B5899" w:rsidP="00135934"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B5899" w:rsidRDefault="007B5899" w:rsidP="00135934"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7B5899" w:rsidRPr="009C5E28" w:rsidTr="00135934">
        <w:tc>
          <w:tcPr>
            <w:tcW w:w="1009" w:type="dxa"/>
            <w:shd w:val="clear" w:color="auto" w:fill="auto"/>
            <w:vAlign w:val="center"/>
          </w:tcPr>
          <w:p w:rsidR="007B5899" w:rsidRPr="009C5E28" w:rsidRDefault="007B5899" w:rsidP="001359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35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B5899" w:rsidRPr="009C5E28" w:rsidRDefault="007B5899" w:rsidP="001359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34" name="Grafi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B5899" w:rsidRPr="009C5E28" w:rsidRDefault="007B5899" w:rsidP="001359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3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B5899" w:rsidRPr="009C5E28" w:rsidRDefault="007B5899" w:rsidP="001359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32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B5899" w:rsidRPr="009C5E28" w:rsidRDefault="007B5899" w:rsidP="001359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31" name="Grafi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5899" w:rsidRPr="009C5E28" w:rsidRDefault="007B5899" w:rsidP="001359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30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B5899" w:rsidRPr="009C5E28" w:rsidRDefault="007B5899" w:rsidP="001359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9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B5899" w:rsidRPr="009C5E28" w:rsidRDefault="007B5899" w:rsidP="001359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9270" cy="509270"/>
                  <wp:effectExtent l="19050" t="0" r="5080" b="0"/>
                  <wp:docPr id="28" name="Grafi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899" w:rsidRPr="009C5E28" w:rsidRDefault="007B5899" w:rsidP="001359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7" name="Grafi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899" w:rsidRPr="0052115F" w:rsidRDefault="007B5899" w:rsidP="007B5899">
      <w:pPr>
        <w:tabs>
          <w:tab w:val="left" w:pos="1701"/>
          <w:tab w:val="left" w:pos="1985"/>
        </w:tabs>
        <w:rPr>
          <w:color w:val="auto"/>
        </w:rPr>
      </w:pPr>
    </w:p>
    <w:p w:rsidR="007B5899" w:rsidRPr="0052115F" w:rsidRDefault="007B5899" w:rsidP="007B5899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52115F">
        <w:rPr>
          <w:color w:val="auto"/>
        </w:rPr>
        <w:t xml:space="preserve">Materialien: </w:t>
      </w:r>
      <w:r w:rsidRPr="0052115F">
        <w:rPr>
          <w:color w:val="auto"/>
        </w:rPr>
        <w:tab/>
      </w:r>
      <w:r w:rsidRPr="0052115F">
        <w:rPr>
          <w:color w:val="auto"/>
        </w:rPr>
        <w:tab/>
      </w:r>
      <w:r>
        <w:rPr>
          <w:color w:val="auto"/>
        </w:rPr>
        <w:t>Verbrennungsrohr mit zwei durchbohrten Stopfen, 2 Waschflaschen, Stat</w:t>
      </w:r>
      <w:r>
        <w:rPr>
          <w:color w:val="auto"/>
        </w:rPr>
        <w:t>i</w:t>
      </w:r>
      <w:r>
        <w:rPr>
          <w:color w:val="auto"/>
        </w:rPr>
        <w:t>ve mit Klemmen und Muffen, Gasbrenner, Schlauchschellen, Verbindung</w:t>
      </w:r>
      <w:r>
        <w:rPr>
          <w:color w:val="auto"/>
        </w:rPr>
        <w:t>s</w:t>
      </w:r>
      <w:r>
        <w:rPr>
          <w:color w:val="auto"/>
        </w:rPr>
        <w:t>schläuche, Spatel, Feuerzeug, Glaswolle</w:t>
      </w:r>
    </w:p>
    <w:p w:rsidR="007B5899" w:rsidRPr="00043D60" w:rsidRDefault="007B5899" w:rsidP="007B5899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52115F">
        <w:rPr>
          <w:color w:val="auto"/>
        </w:rPr>
        <w:t>Chemikalien:</w:t>
      </w:r>
      <w:r w:rsidRPr="0052115F">
        <w:rPr>
          <w:color w:val="auto"/>
        </w:rPr>
        <w:tab/>
      </w:r>
      <w:r w:rsidRPr="0052115F">
        <w:rPr>
          <w:color w:val="auto"/>
        </w:rPr>
        <w:tab/>
      </w:r>
      <w:r>
        <w:rPr>
          <w:color w:val="auto"/>
        </w:rPr>
        <w:t>Pyrit (FeS</w:t>
      </w:r>
      <w:r>
        <w:rPr>
          <w:color w:val="auto"/>
          <w:vertAlign w:val="subscript"/>
        </w:rPr>
        <w:t>2</w:t>
      </w:r>
      <w:r>
        <w:rPr>
          <w:color w:val="auto"/>
        </w:rPr>
        <w:t xml:space="preserve">), </w:t>
      </w:r>
      <w:proofErr w:type="spellStart"/>
      <w:r>
        <w:rPr>
          <w:color w:val="auto"/>
        </w:rPr>
        <w:t>Bariumchlorid</w:t>
      </w:r>
      <w:proofErr w:type="spellEnd"/>
      <w:r>
        <w:rPr>
          <w:color w:val="auto"/>
        </w:rPr>
        <w:t>-Lösung; c(BaCl</w:t>
      </w:r>
      <w:r>
        <w:rPr>
          <w:color w:val="auto"/>
          <w:vertAlign w:val="subscript"/>
        </w:rPr>
        <w:t>2</w:t>
      </w:r>
      <w:r>
        <w:rPr>
          <w:color w:val="auto"/>
        </w:rPr>
        <w:t xml:space="preserve">)= 0,1 </w:t>
      </w:r>
      <w:proofErr w:type="spellStart"/>
      <w:r>
        <w:rPr>
          <w:color w:val="auto"/>
        </w:rPr>
        <w:t>mol</w:t>
      </w:r>
      <w:proofErr w:type="spellEnd"/>
      <w:r>
        <w:rPr>
          <w:color w:val="auto"/>
        </w:rPr>
        <w:t>/L, verdünnte Sal</w:t>
      </w:r>
      <w:r>
        <w:rPr>
          <w:color w:val="auto"/>
        </w:rPr>
        <w:t>z</w:t>
      </w:r>
      <w:r>
        <w:rPr>
          <w:color w:val="auto"/>
        </w:rPr>
        <w:t>säure; c(</w:t>
      </w:r>
      <w:proofErr w:type="spellStart"/>
      <w:r>
        <w:rPr>
          <w:color w:val="auto"/>
        </w:rPr>
        <w:t>HCl</w:t>
      </w:r>
      <w:proofErr w:type="spellEnd"/>
      <w:r>
        <w:rPr>
          <w:color w:val="auto"/>
        </w:rPr>
        <w:t xml:space="preserve">)= 2 </w:t>
      </w:r>
      <w:proofErr w:type="spellStart"/>
      <w:r>
        <w:rPr>
          <w:color w:val="auto"/>
        </w:rPr>
        <w:t>mol</w:t>
      </w:r>
      <w:proofErr w:type="spellEnd"/>
      <w:r>
        <w:rPr>
          <w:color w:val="auto"/>
        </w:rPr>
        <w:t>/L, Mangan(IV)-Oxid Katalysator (Braunstein)</w:t>
      </w:r>
    </w:p>
    <w:p w:rsidR="007B5899" w:rsidRPr="0052115F" w:rsidRDefault="007B5899" w:rsidP="007B5899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52115F">
        <w:rPr>
          <w:color w:val="auto"/>
        </w:rPr>
        <w:lastRenderedPageBreak/>
        <w:t xml:space="preserve">Durchführung: </w:t>
      </w:r>
      <w:r w:rsidRPr="0052115F">
        <w:rPr>
          <w:color w:val="auto"/>
        </w:rPr>
        <w:tab/>
      </w:r>
      <w:r w:rsidRPr="0052115F">
        <w:rPr>
          <w:color w:val="auto"/>
        </w:rPr>
        <w:tab/>
      </w:r>
      <w:r>
        <w:rPr>
          <w:color w:val="auto"/>
        </w:rPr>
        <w:t>In ein etwa 30 cm langes Verbrennungsrohr wird ein Pfropfen Glaswolle gegeben.  Auf der einen Seite der Glaswolle wird ein etwa 5 cm langer Stre</w:t>
      </w:r>
      <w:r>
        <w:rPr>
          <w:color w:val="auto"/>
        </w:rPr>
        <w:t>i</w:t>
      </w:r>
      <w:r>
        <w:rPr>
          <w:color w:val="auto"/>
        </w:rPr>
        <w:t>fen Pyrit angehäuft, auf der anderen Seite etwa 3 cm Mangan(IV)-</w:t>
      </w:r>
      <w:proofErr w:type="spellStart"/>
      <w:r>
        <w:rPr>
          <w:color w:val="auto"/>
        </w:rPr>
        <w:t>oxid</w:t>
      </w:r>
      <w:proofErr w:type="spellEnd"/>
      <w:r>
        <w:rPr>
          <w:color w:val="auto"/>
        </w:rPr>
        <w:t xml:space="preserve"> Katalysator. Neben den Katalysator wird erneut etwas Glaswolle gegeben, bevor das Verbrennungsrohr an beiden Seiten mit durchbohrten Stopfen ve</w:t>
      </w:r>
      <w:r>
        <w:rPr>
          <w:color w:val="auto"/>
        </w:rPr>
        <w:t>r</w:t>
      </w:r>
      <w:r>
        <w:rPr>
          <w:color w:val="auto"/>
        </w:rPr>
        <w:t>schlossen wird. Über zwei Waschflaschen wird das Verbrennungsrohr an das Vakuum (alternativ ist auch die Verwendung einer Wasserstrahlpumpe möglich) angeschlossen. Die erste Waschflasche ist leer, in der zweiten b</w:t>
      </w:r>
      <w:r>
        <w:rPr>
          <w:color w:val="auto"/>
        </w:rPr>
        <w:t>e</w:t>
      </w:r>
      <w:r>
        <w:rPr>
          <w:color w:val="auto"/>
        </w:rPr>
        <w:t>findet sich Wasser, angefärbt mit Universalindikator. Vakuum wird gez</w:t>
      </w:r>
      <w:r>
        <w:rPr>
          <w:color w:val="auto"/>
        </w:rPr>
        <w:t>o</w:t>
      </w:r>
      <w:r>
        <w:rPr>
          <w:color w:val="auto"/>
        </w:rPr>
        <w:t xml:space="preserve">gen. Pyrit wird kräftig mit dem Gasbrenner erhitzt, nach etwa 2 Minuten wird auch der Katalysator erhitzt. Nach etwa 15 Minuten wird eine Probe von 4 </w:t>
      </w:r>
      <w:proofErr w:type="spellStart"/>
      <w:r>
        <w:rPr>
          <w:color w:val="auto"/>
        </w:rPr>
        <w:t>mL</w:t>
      </w:r>
      <w:proofErr w:type="spellEnd"/>
      <w:r>
        <w:rPr>
          <w:color w:val="auto"/>
        </w:rPr>
        <w:t xml:space="preserve"> aus Waschflasche zwei entnommen und mit 2 </w:t>
      </w:r>
      <w:proofErr w:type="spellStart"/>
      <w:r>
        <w:rPr>
          <w:color w:val="auto"/>
        </w:rPr>
        <w:t>mL</w:t>
      </w:r>
      <w:proofErr w:type="spellEnd"/>
      <w:r>
        <w:rPr>
          <w:color w:val="auto"/>
        </w:rPr>
        <w:t xml:space="preserve"> Salzsäure und 2 </w:t>
      </w:r>
      <w:proofErr w:type="spellStart"/>
      <w:r>
        <w:rPr>
          <w:color w:val="auto"/>
        </w:rPr>
        <w:t>mL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Bariumchlorid</w:t>
      </w:r>
      <w:proofErr w:type="spellEnd"/>
      <w:r>
        <w:rPr>
          <w:color w:val="auto"/>
        </w:rPr>
        <w:t>-Lösung versetzt. Der detaillierte Aufbau ist in Abbildung 1 dargestellt.</w:t>
      </w:r>
    </w:p>
    <w:p w:rsidR="007B5899" w:rsidRDefault="007B5899" w:rsidP="007B5899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noProof/>
          <w:color w:val="auto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288925</wp:posOffset>
            </wp:positionV>
            <wp:extent cx="3761740" cy="2115820"/>
            <wp:effectExtent l="19050" t="0" r="0" b="0"/>
            <wp:wrapTight wrapText="bothSides">
              <wp:wrapPolygon edited="0">
                <wp:start x="-109" y="0"/>
                <wp:lineTo x="-109" y="21393"/>
                <wp:lineTo x="21549" y="21393"/>
                <wp:lineTo x="21549" y="0"/>
                <wp:lineTo x="-109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899" w:rsidRDefault="007B5899" w:rsidP="007B5899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7B5899" w:rsidRDefault="007B5899" w:rsidP="007B5899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7B5899" w:rsidRDefault="007B5899" w:rsidP="007B5899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7B5899" w:rsidRDefault="007B5899" w:rsidP="007B5899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7B5899" w:rsidRDefault="007B5899" w:rsidP="007B5899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7B5899" w:rsidRDefault="007B5899" w:rsidP="007B5899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7B5899" w:rsidRDefault="007B5899" w:rsidP="007B5899">
      <w:pPr>
        <w:tabs>
          <w:tab w:val="left" w:pos="1985"/>
        </w:tabs>
        <w:ind w:left="2124" w:hanging="1980"/>
        <w:rPr>
          <w:color w:val="auto"/>
        </w:rPr>
      </w:pPr>
      <w:r>
        <w:rPr>
          <w:color w:val="auto"/>
        </w:rPr>
        <w:tab/>
      </w:r>
      <w:r w:rsidRPr="0052115F">
        <w:rPr>
          <w:color w:val="auto"/>
        </w:rPr>
        <w:tab/>
      </w:r>
      <w:r w:rsidRPr="0052115F">
        <w:rPr>
          <w:color w:val="auto"/>
          <w:sz w:val="18"/>
        </w:rPr>
        <w:t xml:space="preserve">Abb. </w:t>
      </w:r>
      <w:r w:rsidRPr="0052115F">
        <w:rPr>
          <w:color w:val="auto"/>
          <w:sz w:val="18"/>
        </w:rPr>
        <w:fldChar w:fldCharType="begin"/>
      </w:r>
      <w:r w:rsidRPr="0052115F">
        <w:rPr>
          <w:color w:val="auto"/>
          <w:sz w:val="18"/>
        </w:rPr>
        <w:instrText xml:space="preserve"> SEQ Abb. \* ARABIC </w:instrText>
      </w:r>
      <w:r w:rsidRPr="0052115F">
        <w:rPr>
          <w:color w:val="auto"/>
          <w:sz w:val="18"/>
        </w:rPr>
        <w:fldChar w:fldCharType="separate"/>
      </w:r>
      <w:r>
        <w:rPr>
          <w:noProof/>
          <w:color w:val="auto"/>
          <w:sz w:val="18"/>
        </w:rPr>
        <w:t>1</w:t>
      </w:r>
      <w:r w:rsidRPr="0052115F">
        <w:rPr>
          <w:color w:val="auto"/>
          <w:sz w:val="18"/>
        </w:rPr>
        <w:fldChar w:fldCharType="end"/>
      </w:r>
      <w:r w:rsidRPr="0052115F">
        <w:rPr>
          <w:color w:val="auto"/>
          <w:sz w:val="18"/>
        </w:rPr>
        <w:t xml:space="preserve"> - </w:t>
      </w:r>
      <w:r w:rsidRPr="0052115F">
        <w:rPr>
          <w:noProof/>
          <w:color w:val="auto"/>
          <w:sz w:val="18"/>
        </w:rPr>
        <w:t xml:space="preserve"> </w:t>
      </w:r>
      <w:r>
        <w:rPr>
          <w:noProof/>
          <w:color w:val="auto"/>
          <w:sz w:val="18"/>
        </w:rPr>
        <w:t>Versuchsapparatur zur Darstellung von Schwefelsäure nach dem Kontaktverfahren (Anmerkung: Die Apparatur müsste aus Gründen der Wahrnehmung eigentlich gespiegelt aufgebaut werden, dieser Aufbau war jedoch nicht möglich, da an der rechten Seite kein Vakuum gezogen werden konnte).</w:t>
      </w:r>
    </w:p>
    <w:p w:rsidR="007B5899" w:rsidRDefault="007B5899" w:rsidP="007B5899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7B5899" w:rsidRDefault="007B5899" w:rsidP="007B5899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52115F">
        <w:rPr>
          <w:color w:val="auto"/>
        </w:rPr>
        <w:t>Beobachtung:</w:t>
      </w:r>
      <w:r w:rsidRPr="0052115F">
        <w:rPr>
          <w:color w:val="auto"/>
        </w:rPr>
        <w:tab/>
      </w:r>
      <w:r w:rsidRPr="0052115F">
        <w:rPr>
          <w:color w:val="auto"/>
        </w:rPr>
        <w:tab/>
      </w:r>
      <w:r>
        <w:rPr>
          <w:color w:val="auto"/>
        </w:rPr>
        <w:t xml:space="preserve">Pyrit beginnt zu glühen. In der ersten Waschflasche bildet sich weißer Rauch. Die Lösung in Waschflasche zwei verändert ihre Farbe (orange </w:t>
      </w:r>
      <w:r w:rsidRPr="00A80D44">
        <w:rPr>
          <w:color w:val="auto"/>
        </w:rPr>
        <w:sym w:font="Wingdings" w:char="F0E0"/>
      </w:r>
      <w:r>
        <w:rPr>
          <w:color w:val="auto"/>
        </w:rPr>
        <w:t xml:space="preserve"> rosa). Bei der Probe aus Waschflasche zwei kann nach Versetzen mit sal</w:t>
      </w:r>
      <w:r>
        <w:rPr>
          <w:color w:val="auto"/>
        </w:rPr>
        <w:t>z</w:t>
      </w:r>
      <w:r>
        <w:rPr>
          <w:color w:val="auto"/>
        </w:rPr>
        <w:t xml:space="preserve">saurer </w:t>
      </w:r>
      <w:proofErr w:type="spellStart"/>
      <w:r>
        <w:rPr>
          <w:color w:val="auto"/>
        </w:rPr>
        <w:t>Bariumchlorid</w:t>
      </w:r>
      <w:proofErr w:type="spellEnd"/>
      <w:r>
        <w:rPr>
          <w:color w:val="auto"/>
        </w:rPr>
        <w:t>-Lösung ein weißer Niederschlag beobachtet werden.</w:t>
      </w:r>
    </w:p>
    <w:p w:rsidR="007B5899" w:rsidRDefault="007B5899" w:rsidP="007B5899">
      <w:pPr>
        <w:tabs>
          <w:tab w:val="left" w:pos="1985"/>
        </w:tabs>
        <w:ind w:left="1980" w:hanging="1980"/>
        <w:rPr>
          <w:color w:val="auto"/>
        </w:rPr>
      </w:pPr>
      <w:r w:rsidRPr="00DD1ECA">
        <w:rPr>
          <w:noProof/>
          <w:lang w:val="en-US"/>
        </w:rPr>
        <w:lastRenderedPageBreak/>
        <w:pict>
          <v:shape id="Text Box 147" o:spid="_x0000_s1028" type="#_x0000_t202" style="position:absolute;left:0;text-align:left;margin-left:101.1pt;margin-top:230.3pt;width:325.85pt;height:31.1pt;z-index:251662336;visibility:visible" wrapcoords="-50 0 -50 21073 21600 21073 21600 0 -5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" stroked="f">
            <v:textbox style="mso-fit-shape-to-text:t" inset="0,0,0,0">
              <w:txbxContent>
                <w:p w:rsidR="007B5899" w:rsidRPr="000F64F1" w:rsidRDefault="007B5899" w:rsidP="007B5899">
                  <w:pPr>
                    <w:pStyle w:val="Beschriftung"/>
                    <w:rPr>
                      <w:noProof/>
                    </w:rPr>
                  </w:pPr>
                  <w:r>
                    <w:rPr>
                      <w:noProof/>
                    </w:rPr>
                    <w:t>Abb. 2 - In Waschflasche eins bildet sich weißer Rauch. Die Lösung in Waschflasche zwei färbt sich rosa.</w:t>
                  </w:r>
                </w:p>
              </w:txbxContent>
            </v:textbox>
            <w10:wrap type="tight"/>
          </v:shape>
        </w:pict>
      </w:r>
      <w:r>
        <w:rPr>
          <w:color w:val="auto"/>
        </w:rPr>
        <w:tab/>
      </w:r>
      <w:r>
        <w:rPr>
          <w:noProof/>
          <w:color w:val="auto"/>
          <w:lang w:eastAsia="de-DE"/>
        </w:rPr>
        <w:drawing>
          <wp:inline distT="0" distB="0" distL="0" distR="0">
            <wp:extent cx="4563374" cy="2566898"/>
            <wp:effectExtent l="19050" t="0" r="8626" b="0"/>
            <wp:docPr id="1" name="Grafik 0" descr="DSC_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5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062" cy="256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899" w:rsidRDefault="007B5899" w:rsidP="007B5899">
      <w:pPr>
        <w:tabs>
          <w:tab w:val="left" w:pos="1985"/>
        </w:tabs>
        <w:ind w:left="1980" w:hanging="1980"/>
        <w:rPr>
          <w:color w:val="auto"/>
        </w:rPr>
      </w:pPr>
    </w:p>
    <w:p w:rsidR="007B5899" w:rsidRDefault="007B5899" w:rsidP="007B5899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7B5899" w:rsidRDefault="007B5899" w:rsidP="007B5899">
      <w:pPr>
        <w:tabs>
          <w:tab w:val="left" w:pos="1701"/>
          <w:tab w:val="left" w:pos="1985"/>
        </w:tabs>
        <w:ind w:left="1980" w:hanging="1980"/>
        <w:rPr>
          <w:rFonts w:eastAsiaTheme="minorEastAsia"/>
          <w:sz w:val="24"/>
        </w:rPr>
      </w:pPr>
      <w:r w:rsidRPr="0052115F">
        <w:rPr>
          <w:color w:val="auto"/>
        </w:rPr>
        <w:t xml:space="preserve">Deutung: </w:t>
      </w:r>
      <w:r w:rsidRPr="0052115F">
        <w:rPr>
          <w:color w:val="auto"/>
        </w:rPr>
        <w:tab/>
      </w:r>
      <w:r w:rsidRPr="0052115F">
        <w:rPr>
          <w:color w:val="auto"/>
        </w:rPr>
        <w:tab/>
      </w:r>
      <w:r>
        <w:rPr>
          <w:color w:val="auto"/>
        </w:rPr>
        <w:t>Pyrit wird durch den Sauerstoff der Luft unter Bildung von Schwefeldioxid oxidiert:</w:t>
      </w:r>
      <w:r>
        <w:rPr>
          <w:rFonts w:ascii="Cambria Math" w:hAnsi="Cambria Math"/>
          <w:sz w:val="24"/>
        </w:rPr>
        <w:br/>
      </w:r>
      <w:r>
        <w:rPr>
          <w:rFonts w:eastAsiaTheme="minorEastAsia"/>
        </w:rPr>
        <w:t xml:space="preserve">                                             </w:t>
      </w:r>
      <m:oMath>
        <m:r>
          <m:rPr>
            <m:sty m:val="p"/>
          </m:rPr>
          <w:rPr>
            <w:rFonts w:asciiTheme="majorHAnsi" w:hAnsiTheme="majorHAnsi"/>
          </w:rPr>
          <m:t>4 Fe</m:t>
        </m:r>
        <m:sSub>
          <m:sSubPr>
            <m:ctrlPr>
              <w:rPr>
                <w:rFonts w:asciiTheme="majorHAnsi" w:hAnsiTheme="majorHAnsi"/>
              </w:rPr>
            </m:ctrlPr>
          </m:sSubPr>
          <m:e>
            <m:r>
              <m:rPr>
                <m:sty m:val="p"/>
              </m:rPr>
              <w:rPr>
                <w:rFonts w:asciiTheme="majorHAnsi" w:hAnsiTheme="majorHAnsi"/>
              </w:rPr>
              <m:t>S</m:t>
            </m:r>
          </m:e>
          <m:sub>
            <m:sSub>
              <m:sSubPr>
                <m:ctrlPr>
                  <w:rPr>
                    <w:rFonts w:asciiTheme="majorHAnsi" w:hAnsiTheme="maj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Theme="majorHAnsi" w:hAnsiTheme="majorHAnsi"/>
                  </w:rPr>
                  <m:t>2</m:t>
                </m:r>
              </m:e>
              <m:sub>
                <m:r>
                  <m:rPr>
                    <m:sty m:val="p"/>
                  </m:rPr>
                  <w:rPr>
                    <w:rFonts w:asciiTheme="majorHAnsi" w:hAnsiTheme="majorHAnsi"/>
                  </w:rPr>
                  <m:t>(s)</m:t>
                </m:r>
              </m:sub>
            </m:sSub>
          </m:sub>
        </m:sSub>
        <m:r>
          <m:rPr>
            <m:sty m:val="p"/>
          </m:rPr>
          <w:rPr>
            <w:rFonts w:asciiTheme="majorHAnsi" w:hAnsiTheme="majorHAnsi"/>
          </w:rPr>
          <m:t xml:space="preserve">+11 </m:t>
        </m:r>
        <m:sSub>
          <m:sSubPr>
            <m:ctrlPr>
              <w:rPr>
                <w:rFonts w:asciiTheme="majorHAnsi" w:hAnsiTheme="majorHAnsi"/>
              </w:rPr>
            </m:ctrlPr>
          </m:sSubPr>
          <m:e>
            <m:r>
              <m:rPr>
                <m:sty m:val="p"/>
              </m:rPr>
              <w:rPr>
                <w:rFonts w:asciiTheme="majorHAnsi" w:hAnsiTheme="majorHAnsi"/>
              </w:rPr>
              <m:t>O</m:t>
            </m:r>
          </m:e>
          <m:sub>
            <m:sSub>
              <m:sSubPr>
                <m:ctrlPr>
                  <w:rPr>
                    <w:rFonts w:asciiTheme="majorHAnsi" w:hAnsiTheme="maj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Theme="majorHAnsi" w:hAnsiTheme="majorHAnsi"/>
                  </w:rPr>
                  <m:t>2</m:t>
                </m:r>
              </m:e>
              <m:sub>
                <m:r>
                  <m:rPr>
                    <m:sty m:val="p"/>
                  </m:rPr>
                  <w:rPr>
                    <w:rFonts w:asciiTheme="majorHAnsi" w:hAnsiTheme="majorHAnsi"/>
                  </w:rPr>
                  <m:t>(g)</m:t>
                </m:r>
              </m:sub>
            </m:sSub>
          </m:sub>
        </m:sSub>
        <m:r>
          <m:rPr>
            <m:sty m:val="p"/>
          </m:rPr>
          <w:rPr>
            <w:rFonts w:asciiTheme="majorHAnsi" w:hAnsiTheme="majorHAnsi"/>
          </w:rPr>
          <m:t xml:space="preserve">→2 </m:t>
        </m:r>
        <m:sSub>
          <m:sSubPr>
            <m:ctrlPr>
              <w:rPr>
                <w:rFonts w:asciiTheme="majorHAnsi" w:hAnsiTheme="majorHAnsi"/>
              </w:rPr>
            </m:ctrlPr>
          </m:sSubPr>
          <m:e>
            <m:r>
              <m:rPr>
                <m:sty m:val="p"/>
              </m:rPr>
              <w:rPr>
                <w:rFonts w:asciiTheme="majorHAnsi" w:hAnsiTheme="majorHAnsi"/>
              </w:rPr>
              <m:t>Fe</m:t>
            </m:r>
          </m:e>
          <m:sub>
            <m:r>
              <m:rPr>
                <m:sty m:val="p"/>
              </m:rPr>
              <w:rPr>
                <w:rFonts w:asciiTheme="majorHAnsi" w:hAnsiTheme="majorHAnsi"/>
              </w:rPr>
              <m:t>2</m:t>
            </m:r>
          </m:sub>
        </m:sSub>
        <m:sSub>
          <m:sSubPr>
            <m:ctrlPr>
              <w:rPr>
                <w:rFonts w:asciiTheme="majorHAnsi" w:hAnsiTheme="majorHAnsi"/>
              </w:rPr>
            </m:ctrlPr>
          </m:sSubPr>
          <m:e>
            <m:r>
              <m:rPr>
                <m:sty m:val="p"/>
              </m:rPr>
              <w:rPr>
                <w:rFonts w:asciiTheme="majorHAnsi" w:hAnsiTheme="majorHAnsi"/>
              </w:rPr>
              <m:t>O</m:t>
            </m:r>
          </m:e>
          <m:sub>
            <m:sSub>
              <m:sSubPr>
                <m:ctrlPr>
                  <w:rPr>
                    <w:rFonts w:asciiTheme="majorHAnsi" w:hAnsiTheme="maj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Theme="majorHAnsi" w:hAnsiTheme="majorHAnsi"/>
                  </w:rPr>
                  <m:t>3</m:t>
                </m:r>
              </m:e>
              <m:sub>
                <m:r>
                  <m:rPr>
                    <m:sty m:val="p"/>
                  </m:rPr>
                  <w:rPr>
                    <w:rFonts w:asciiTheme="majorHAnsi" w:hAnsiTheme="majorHAnsi"/>
                  </w:rPr>
                  <m:t>(s)</m:t>
                </m:r>
              </m:sub>
            </m:sSub>
          </m:sub>
        </m:sSub>
        <m:r>
          <m:rPr>
            <m:sty m:val="p"/>
          </m:rPr>
          <w:rPr>
            <w:rFonts w:asciiTheme="majorHAnsi" w:hAnsiTheme="majorHAnsi"/>
          </w:rPr>
          <m:t>+8 S</m:t>
        </m:r>
        <m:sSub>
          <m:sSubPr>
            <m:ctrlPr>
              <w:rPr>
                <w:rFonts w:asciiTheme="majorHAnsi" w:hAnsiTheme="majorHAnsi"/>
              </w:rPr>
            </m:ctrlPr>
          </m:sSubPr>
          <m:e>
            <m:r>
              <m:rPr>
                <m:sty m:val="p"/>
              </m:rPr>
              <w:rPr>
                <w:rFonts w:asciiTheme="majorHAnsi" w:hAnsiTheme="majorHAnsi"/>
              </w:rPr>
              <m:t>O</m:t>
            </m:r>
          </m:e>
          <m:sub>
            <m:sSub>
              <m:sSubPr>
                <m:ctrlPr>
                  <w:rPr>
                    <w:rFonts w:asciiTheme="majorHAnsi" w:hAnsiTheme="maj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Theme="majorHAnsi" w:hAnsiTheme="majorHAnsi"/>
                  </w:rPr>
                  <m:t>2</m:t>
                </m:r>
              </m:e>
              <m:sub>
                <m:r>
                  <m:rPr>
                    <m:sty m:val="p"/>
                  </m:rPr>
                  <w:rPr>
                    <w:rFonts w:asciiTheme="majorHAnsi" w:hAnsiTheme="majorHAnsi"/>
                  </w:rPr>
                  <m:t>(g)</m:t>
                </m:r>
              </m:sub>
            </m:sSub>
          </m:sub>
        </m:sSub>
      </m:oMath>
    </w:p>
    <w:p w:rsidR="007B5899" w:rsidRPr="001E7375" w:rsidRDefault="007B5899" w:rsidP="007B5899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</w:rPr>
        <w:t>Am Mangan(IV)-</w:t>
      </w:r>
      <w:proofErr w:type="spellStart"/>
      <w:r>
        <w:rPr>
          <w:rFonts w:eastAsiaTheme="minorEastAsia"/>
        </w:rPr>
        <w:t>oxid</w:t>
      </w:r>
      <w:proofErr w:type="spellEnd"/>
      <w:r>
        <w:rPr>
          <w:rFonts w:eastAsiaTheme="minorEastAsia"/>
        </w:rPr>
        <w:t xml:space="preserve">-Katalysator wird Schwefeldioxid zu </w:t>
      </w:r>
      <w:proofErr w:type="spellStart"/>
      <w:r>
        <w:rPr>
          <w:rFonts w:eastAsiaTheme="minorEastAsia"/>
        </w:rPr>
        <w:t>Schwefeltrioxid</w:t>
      </w:r>
      <w:proofErr w:type="spellEnd"/>
      <w:r>
        <w:rPr>
          <w:rFonts w:eastAsiaTheme="minorEastAsia"/>
        </w:rPr>
        <w:t xml:space="preserve"> oxidiert:</w:t>
      </w:r>
      <w:r>
        <w:rPr>
          <w:rFonts w:eastAsiaTheme="minorEastAsia"/>
        </w:rPr>
        <w:tab/>
      </w:r>
    </w:p>
    <w:p w:rsidR="007B5899" w:rsidRPr="001E7375" w:rsidRDefault="007B5899" w:rsidP="007B5899">
      <w:pPr>
        <w:tabs>
          <w:tab w:val="left" w:pos="1701"/>
          <w:tab w:val="left" w:pos="1985"/>
        </w:tabs>
        <w:ind w:left="1980" w:hanging="1980"/>
        <w:rPr>
          <w:rFonts w:eastAsiaTheme="minorEastAsia"/>
          <w:sz w:val="20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2 S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(g)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(g)</m:t>
                  </m:r>
                </m:sub>
              </m:sSub>
            </m:sub>
          </m:sSub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←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→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 xml:space="preserve"> 2 S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(g)</m:t>
                  </m:r>
                </m:sub>
              </m:sSub>
            </m:sub>
          </m:sSub>
        </m:oMath>
      </m:oMathPara>
    </w:p>
    <w:p w:rsidR="007B5899" w:rsidRDefault="007B5899" w:rsidP="007B5899">
      <w:pPr>
        <w:spacing w:after="0"/>
        <w:ind w:left="1980" w:hanging="1980"/>
        <w:rPr>
          <w:color w:val="auto"/>
        </w:rPr>
      </w:pPr>
      <w:r>
        <w:rPr>
          <w:color w:val="auto"/>
        </w:rPr>
        <w:tab/>
        <w:t>Bei dieser Reaktion liegt ein Gleichgewicht vor. Da die Reaktion von Schw</w:t>
      </w:r>
      <w:r>
        <w:rPr>
          <w:color w:val="auto"/>
        </w:rPr>
        <w:t>e</w:t>
      </w:r>
      <w:r>
        <w:rPr>
          <w:color w:val="auto"/>
        </w:rPr>
        <w:t xml:space="preserve">feldioxid zu </w:t>
      </w:r>
      <w:proofErr w:type="spellStart"/>
      <w:r>
        <w:rPr>
          <w:color w:val="auto"/>
        </w:rPr>
        <w:t>Schwefeltrioxid</w:t>
      </w:r>
      <w:proofErr w:type="spellEnd"/>
      <w:r>
        <w:rPr>
          <w:color w:val="auto"/>
        </w:rPr>
        <w:t xml:space="preserve"> exotherm verläuft, wird sie durch niedrige Temperaturen begünstigt. Niedrige Temperaturen wirken sich jedoch n</w:t>
      </w:r>
      <w:r>
        <w:rPr>
          <w:color w:val="auto"/>
        </w:rPr>
        <w:t>e</w:t>
      </w:r>
      <w:r>
        <w:rPr>
          <w:color w:val="auto"/>
        </w:rPr>
        <w:t xml:space="preserve">gativ auf die Reaktionsgeschwindigkeit aus, daher wird an dieser Stelle ein Katalysator eingesetzt. </w:t>
      </w:r>
      <w:proofErr w:type="spellStart"/>
      <w:r>
        <w:rPr>
          <w:color w:val="auto"/>
        </w:rPr>
        <w:t>Schwefeltrioxid</w:t>
      </w:r>
      <w:proofErr w:type="spellEnd"/>
      <w:r>
        <w:rPr>
          <w:color w:val="auto"/>
        </w:rPr>
        <w:t xml:space="preserve"> kann als weißer Rauch in Waschfl</w:t>
      </w:r>
      <w:r>
        <w:rPr>
          <w:color w:val="auto"/>
        </w:rPr>
        <w:t>a</w:t>
      </w:r>
      <w:r>
        <w:rPr>
          <w:color w:val="auto"/>
        </w:rPr>
        <w:t>sche eins beobachtet werden. Ein Teil des Gases setzt sich beim Einleiten in Wasser zu Schwefelsäure um:</w:t>
      </w:r>
    </w:p>
    <w:p w:rsidR="007B5899" w:rsidRDefault="007B5899" w:rsidP="007B5899">
      <w:pPr>
        <w:rPr>
          <w:rFonts w:asciiTheme="majorHAnsi" w:eastAsiaTheme="minorEastAsia" w:hAnsiTheme="majorHAnsi"/>
          <w:sz w:val="24"/>
        </w:rPr>
      </w:pPr>
      <w:r>
        <w:rPr>
          <w:color w:val="auto"/>
        </w:rPr>
        <w:tab/>
      </w:r>
      <w:r>
        <w:rPr>
          <w:rFonts w:ascii="Cambria Math" w:eastAsiaTheme="minorEastAsia" w:hAnsi="Cambria Math"/>
          <w:sz w:val="24"/>
        </w:rPr>
        <w:br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m:oMath>
        <m:r>
          <m:rPr>
            <m:sty m:val="p"/>
          </m:rPr>
          <w:rPr>
            <w:rFonts w:asciiTheme="majorHAnsi" w:eastAsiaTheme="minorEastAsia" w:hAnsiTheme="majorHAnsi"/>
          </w:rPr>
          <m:t>S</m:t>
        </m:r>
        <m:sSub>
          <m:sSubPr>
            <m:ctrlPr>
              <w:rPr>
                <w:rFonts w:asciiTheme="majorHAnsi" w:eastAsiaTheme="minorEastAsia" w:hAnsiTheme="majorHAnsi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Theme="majorHAnsi" w:eastAsiaTheme="minorEastAsia" w:hAnsiTheme="majorHAnsi"/>
              </w:rPr>
              <m:t>O</m:t>
            </m:r>
          </m:e>
          <m:sub>
            <m:sSub>
              <m:sSubPr>
                <m:ctrlPr>
                  <w:rPr>
                    <w:rFonts w:asciiTheme="majorHAnsi" w:eastAsiaTheme="minorEastAsia" w:hAnsiTheme="majorHAnsi"/>
                    <w:color w:val="aut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Theme="majorHAnsi" w:eastAsiaTheme="minorEastAsia" w:hAnsiTheme="majorHAnsi"/>
                  </w:rPr>
                  <m:t>3</m:t>
                </m:r>
              </m:e>
              <m:sub>
                <m:r>
                  <m:rPr>
                    <m:sty m:val="p"/>
                  </m:rPr>
                  <w:rPr>
                    <w:rFonts w:asciiTheme="majorHAnsi" w:eastAsiaTheme="minorEastAsia" w:hAnsiTheme="majorHAnsi"/>
                  </w:rPr>
                  <m:t>(g)</m:t>
                </m:r>
              </m:sub>
            </m:sSub>
          </m:sub>
        </m:sSub>
        <m:r>
          <m:rPr>
            <m:sty m:val="p"/>
          </m:rPr>
          <w:rPr>
            <w:rFonts w:asciiTheme="majorHAnsi" w:eastAsiaTheme="minorEastAsia" w:hAnsiTheme="majorHAnsi"/>
          </w:rPr>
          <m:t>+</m:t>
        </m:r>
        <m:sSub>
          <m:sSubPr>
            <m:ctrlPr>
              <w:rPr>
                <w:rFonts w:asciiTheme="majorHAnsi" w:eastAsiaTheme="minorEastAsia" w:hAnsiTheme="majorHAnsi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Theme="majorHAnsi" w:eastAsiaTheme="minorEastAsia" w:hAnsiTheme="majorHAnsi"/>
              </w:rPr>
              <m:t>H</m:t>
            </m:r>
          </m:e>
          <m:sub>
            <m:r>
              <m:rPr>
                <m:sty m:val="p"/>
              </m:rPr>
              <w:rPr>
                <w:rFonts w:asciiTheme="majorHAnsi" w:eastAsiaTheme="minorEastAsia" w:hAnsiTheme="majorHAnsi"/>
              </w:rPr>
              <m:t>2</m:t>
            </m:r>
          </m:sub>
        </m:sSub>
        <m:sSub>
          <m:sSubPr>
            <m:ctrlPr>
              <w:rPr>
                <w:rFonts w:asciiTheme="majorHAnsi" w:eastAsiaTheme="minorEastAsia" w:hAnsiTheme="majorHAnsi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Theme="majorHAnsi" w:eastAsiaTheme="minorEastAsia" w:hAnsiTheme="majorHAnsi"/>
              </w:rPr>
              <m:t>O</m:t>
            </m:r>
          </m:e>
          <m:sub>
            <m:r>
              <m:rPr>
                <m:sty m:val="p"/>
              </m:rPr>
              <w:rPr>
                <w:rFonts w:asciiTheme="majorHAnsi" w:eastAsiaTheme="minorEastAsia" w:hAnsiTheme="majorHAnsi"/>
              </w:rPr>
              <m:t>(l)</m:t>
            </m:r>
          </m:sub>
        </m:sSub>
        <m:r>
          <m:rPr>
            <m:sty m:val="p"/>
          </m:rPr>
          <w:rPr>
            <w:rFonts w:asciiTheme="majorHAnsi" w:eastAsiaTheme="minorEastAsia" w:hAnsiTheme="majorHAnsi"/>
          </w:rPr>
          <m:t>→</m:t>
        </m:r>
        <m:sSub>
          <m:sSubPr>
            <m:ctrlPr>
              <w:rPr>
                <w:rFonts w:asciiTheme="majorHAnsi" w:eastAsiaTheme="minorEastAsia" w:hAnsiTheme="majorHAnsi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Theme="majorHAnsi" w:eastAsiaTheme="minorEastAsia" w:hAnsiTheme="majorHAnsi"/>
              </w:rPr>
              <m:t>H</m:t>
            </m:r>
          </m:e>
          <m:sub>
            <m:r>
              <m:rPr>
                <m:sty m:val="p"/>
              </m:rPr>
              <w:rPr>
                <w:rFonts w:asciiTheme="majorHAnsi" w:eastAsiaTheme="minorEastAsia" w:hAnsiTheme="majorHAnsi"/>
              </w:rPr>
              <m:t>2</m:t>
            </m:r>
          </m:sub>
        </m:sSub>
        <m:r>
          <m:rPr>
            <m:sty m:val="p"/>
          </m:rPr>
          <w:rPr>
            <w:rFonts w:asciiTheme="majorHAnsi" w:eastAsiaTheme="minorEastAsia" w:hAnsiTheme="majorHAnsi"/>
          </w:rPr>
          <m:t>S</m:t>
        </m:r>
        <m:sSub>
          <m:sSubPr>
            <m:ctrlPr>
              <w:rPr>
                <w:rFonts w:asciiTheme="majorHAnsi" w:eastAsiaTheme="minorEastAsia" w:hAnsiTheme="majorHAnsi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Theme="majorHAnsi" w:eastAsiaTheme="minorEastAsia" w:hAnsiTheme="majorHAnsi"/>
              </w:rPr>
              <m:t>O</m:t>
            </m:r>
          </m:e>
          <m:sub>
            <m:sSub>
              <m:sSubPr>
                <m:ctrlPr>
                  <w:rPr>
                    <w:rFonts w:asciiTheme="majorHAnsi" w:eastAsiaTheme="minorEastAsia" w:hAnsiTheme="majorHAnsi"/>
                    <w:color w:val="aut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Theme="majorHAnsi" w:eastAsiaTheme="minorEastAsia" w:hAnsiTheme="majorHAnsi"/>
                  </w:rPr>
                  <m:t>4</m:t>
                </m:r>
              </m:e>
              <m:sub>
                <m:r>
                  <m:rPr>
                    <m:sty m:val="p"/>
                  </m:rPr>
                  <w:rPr>
                    <w:rFonts w:asciiTheme="majorHAnsi" w:eastAsiaTheme="minorEastAsia" w:hAnsiTheme="majorHAnsi"/>
                  </w:rPr>
                  <m:t>(aq)</m:t>
                </m:r>
              </m:sub>
            </m:sSub>
          </m:sub>
        </m:sSub>
      </m:oMath>
    </w:p>
    <w:p w:rsidR="007B5899" w:rsidRDefault="007B5899" w:rsidP="007B5899">
      <w:pPr>
        <w:ind w:left="1980"/>
        <w:rPr>
          <w:rFonts w:eastAsiaTheme="minorEastAsia"/>
        </w:rPr>
      </w:pPr>
      <w:proofErr w:type="spellStart"/>
      <w:r>
        <w:rPr>
          <w:rFonts w:eastAsiaTheme="minorEastAsia"/>
        </w:rPr>
        <w:t>Sulfationen</w:t>
      </w:r>
      <w:proofErr w:type="spellEnd"/>
      <w:r>
        <w:rPr>
          <w:rFonts w:eastAsiaTheme="minorEastAsia"/>
        </w:rPr>
        <w:t xml:space="preserve"> lassen sich mit </w:t>
      </w:r>
      <w:proofErr w:type="spellStart"/>
      <w:r>
        <w:rPr>
          <w:rFonts w:eastAsiaTheme="minorEastAsia"/>
        </w:rPr>
        <w:t>Bariumionen</w:t>
      </w:r>
      <w:proofErr w:type="spellEnd"/>
      <w:r>
        <w:rPr>
          <w:rFonts w:eastAsiaTheme="minorEastAsia"/>
        </w:rPr>
        <w:t xml:space="preserve"> fällen. </w:t>
      </w:r>
      <w:proofErr w:type="spellStart"/>
      <w:r>
        <w:rPr>
          <w:rFonts w:eastAsiaTheme="minorEastAsia"/>
        </w:rPr>
        <w:t>Bariumsulfat</w:t>
      </w:r>
      <w:proofErr w:type="spellEnd"/>
      <w:r>
        <w:rPr>
          <w:rFonts w:eastAsiaTheme="minorEastAsia"/>
        </w:rPr>
        <w:t xml:space="preserve"> ist als weißer     Niederschlag sichtbar.</w:t>
      </w:r>
    </w:p>
    <w:p w:rsidR="007B5899" w:rsidRPr="00F0172F" w:rsidRDefault="007B5899" w:rsidP="007B5899">
      <w:pPr>
        <w:rPr>
          <w:color w:val="auto"/>
        </w:rPr>
      </w:pPr>
      <w:r>
        <w:rPr>
          <w:rFonts w:eastAsiaTheme="minorEastAsia"/>
          <w:b/>
          <w:color w:val="31849B" w:themeColor="accent5" w:themeShade="BF"/>
        </w:rPr>
        <w:tab/>
      </w:r>
      <w:r>
        <w:rPr>
          <w:rFonts w:eastAsiaTheme="minorEastAsia"/>
          <w:b/>
          <w:color w:val="31849B" w:themeColor="accent5" w:themeShade="BF"/>
        </w:rPr>
        <w:tab/>
      </w:r>
      <w:r>
        <w:rPr>
          <w:rFonts w:eastAsiaTheme="minorEastAsia"/>
          <w:b/>
          <w:color w:val="31849B" w:themeColor="accent5" w:themeShade="BF"/>
        </w:rPr>
        <w:tab/>
      </w:r>
      <w:r>
        <w:rPr>
          <w:rFonts w:eastAsiaTheme="minorEastAsia"/>
          <w:b/>
          <w:color w:val="31849B" w:themeColor="accent5" w:themeShade="BF"/>
        </w:rPr>
        <w:tab/>
      </w:r>
      <w:r>
        <w:rPr>
          <w:rFonts w:eastAsiaTheme="minorEastAsia"/>
          <w:b/>
          <w:color w:val="31849B" w:themeColor="accent5" w:themeShade="BF"/>
        </w:rPr>
        <w:tab/>
      </w:r>
      <w:r w:rsidRPr="00F0172F">
        <w:rPr>
          <w:rFonts w:eastAsiaTheme="minorEastAsia"/>
          <w:color w:val="auto"/>
        </w:rPr>
        <w:tab/>
      </w:r>
      <m:oMath>
        <m:r>
          <m:rPr>
            <m:sty m:val="p"/>
          </m:rPr>
          <w:rPr>
            <w:rFonts w:ascii="Cambria Math" w:hAnsi="Cambria Math"/>
            <w:color w:val="auto"/>
          </w:rPr>
          <m:t>S</m:t>
        </m:r>
        <m:sSubSup>
          <m:sSubSupPr>
            <m:ctrlPr>
              <w:rPr>
                <w:rFonts w:ascii="Cambria Math" w:hAnsi="Cambria Math"/>
                <w:color w:val="auto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O</m:t>
            </m:r>
          </m:e>
          <m:sub>
            <m:sSub>
              <m:sSubPr>
                <m:ctrlPr>
                  <w:rPr>
                    <w:rFonts w:ascii="Cambria Math" w:hAnsi="Cambria Math"/>
                    <w:color w:val="aut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4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(aq)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  <w:color w:val="auto"/>
              </w:rPr>
              <m:t>2-</m:t>
            </m:r>
          </m:sup>
        </m:sSubSup>
        <m:r>
          <m:rPr>
            <m:sty m:val="p"/>
          </m:rPr>
          <w:rPr>
            <w:rFonts w:ascii="Cambria Math" w:hAnsi="Cambria Math"/>
            <w:color w:val="auto"/>
          </w:rPr>
          <m:t>+</m:t>
        </m:r>
        <m:sSubSup>
          <m:sSubSupPr>
            <m:ctrlPr>
              <w:rPr>
                <w:rFonts w:ascii="Cambria Math" w:hAnsi="Cambria Math"/>
                <w:color w:val="auto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Ba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</w:rPr>
              <m:t>(aq)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auto"/>
              </w:rPr>
              <m:t>2+</m:t>
            </m:r>
          </m:sup>
        </m:sSubSup>
        <m:r>
          <m:rPr>
            <m:sty m:val="p"/>
          </m:rPr>
          <w:rPr>
            <w:rFonts w:ascii="Cambria Math" w:hAnsi="Cambria Math"/>
            <w:color w:val="auto"/>
          </w:rPr>
          <m:t>→BaS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O</m:t>
            </m:r>
          </m:e>
          <m:sub>
            <m:sSub>
              <m:sSubPr>
                <m:ctrlPr>
                  <w:rPr>
                    <w:rFonts w:ascii="Cambria Math" w:hAnsi="Cambria Math"/>
                    <w:color w:val="aut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4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(s)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color w:val="auto"/>
          </w:rPr>
          <m:t>↓</m:t>
        </m:r>
      </m:oMath>
    </w:p>
    <w:p w:rsidR="007B5899" w:rsidRPr="0052115F" w:rsidRDefault="007B5899" w:rsidP="007B5899">
      <w:pPr>
        <w:ind w:left="1980" w:hanging="1980"/>
        <w:rPr>
          <w:color w:val="auto"/>
        </w:rPr>
      </w:pPr>
      <w:r>
        <w:rPr>
          <w:color w:val="auto"/>
        </w:rPr>
        <w:lastRenderedPageBreak/>
        <w:t>Entsorgung:</w:t>
      </w:r>
      <w:r>
        <w:rPr>
          <w:color w:val="auto"/>
        </w:rPr>
        <w:tab/>
        <w:t xml:space="preserve">Die </w:t>
      </w:r>
      <w:proofErr w:type="spellStart"/>
      <w:r>
        <w:rPr>
          <w:color w:val="auto"/>
        </w:rPr>
        <w:t>Bariumchlorid</w:t>
      </w:r>
      <w:proofErr w:type="spellEnd"/>
      <w:r>
        <w:rPr>
          <w:color w:val="auto"/>
        </w:rPr>
        <w:t xml:space="preserve">-Lösung wird durch Zugabe von Schwefelsäure in </w:t>
      </w:r>
      <w:proofErr w:type="spellStart"/>
      <w:r>
        <w:rPr>
          <w:color w:val="auto"/>
        </w:rPr>
        <w:t>Bariumsulfat</w:t>
      </w:r>
      <w:proofErr w:type="spellEnd"/>
      <w:r>
        <w:rPr>
          <w:color w:val="auto"/>
        </w:rPr>
        <w:t xml:space="preserve"> überführt und </w:t>
      </w:r>
      <w:proofErr w:type="spellStart"/>
      <w:r>
        <w:rPr>
          <w:color w:val="auto"/>
        </w:rPr>
        <w:t>abfiltriert</w:t>
      </w:r>
      <w:proofErr w:type="spellEnd"/>
      <w:r>
        <w:rPr>
          <w:color w:val="auto"/>
        </w:rPr>
        <w:t>. Die Entsorgung erfolgt im Schwe</w:t>
      </w:r>
      <w:r>
        <w:rPr>
          <w:color w:val="auto"/>
        </w:rPr>
        <w:t>r</w:t>
      </w:r>
      <w:r>
        <w:rPr>
          <w:color w:val="auto"/>
        </w:rPr>
        <w:t>metallbehälter (Feststoffe). Die sauren Lösungen können im Anschluss neutralisiert und im Ausguss entsorgt werden. Der Katalysator ist wiede</w:t>
      </w:r>
      <w:r>
        <w:rPr>
          <w:color w:val="auto"/>
        </w:rPr>
        <w:t>r</w:t>
      </w:r>
      <w:r>
        <w:rPr>
          <w:color w:val="auto"/>
        </w:rPr>
        <w:t xml:space="preserve">verwendbar. Die </w:t>
      </w:r>
      <w:proofErr w:type="spellStart"/>
      <w:r>
        <w:rPr>
          <w:color w:val="auto"/>
        </w:rPr>
        <w:t>Pyritreste</w:t>
      </w:r>
      <w:proofErr w:type="spellEnd"/>
      <w:r>
        <w:rPr>
          <w:color w:val="auto"/>
        </w:rPr>
        <w:t xml:space="preserve"> werden zum Feststoffabfall gegeben. </w:t>
      </w:r>
    </w:p>
    <w:p w:rsidR="007B5899" w:rsidRDefault="007B5899" w:rsidP="007B5899">
      <w:pPr>
        <w:spacing w:before="240"/>
        <w:ind w:left="1980" w:hanging="1980"/>
        <w:rPr>
          <w:color w:val="auto"/>
        </w:rPr>
      </w:pPr>
      <w:r>
        <w:rPr>
          <w:color w:val="auto"/>
        </w:rPr>
        <w:t>Literatur:</w:t>
      </w:r>
      <w:r>
        <w:rPr>
          <w:color w:val="auto"/>
        </w:rPr>
        <w:tab/>
        <w:t xml:space="preserve">Glöckner, W., Jansen, W., </w:t>
      </w:r>
      <w:proofErr w:type="spellStart"/>
      <w:r>
        <w:rPr>
          <w:color w:val="auto"/>
        </w:rPr>
        <w:t>Weissenhorn</w:t>
      </w:r>
      <w:proofErr w:type="spellEnd"/>
      <w:r>
        <w:rPr>
          <w:color w:val="auto"/>
        </w:rPr>
        <w:t>, R.G. (Hrsg.), Handbuch der exper</w:t>
      </w:r>
      <w:r>
        <w:rPr>
          <w:color w:val="auto"/>
        </w:rPr>
        <w:t>i</w:t>
      </w:r>
      <w:r>
        <w:rPr>
          <w:color w:val="auto"/>
        </w:rPr>
        <w:t xml:space="preserve">mentellen Chemie. </w:t>
      </w:r>
      <w:proofErr w:type="spellStart"/>
      <w:r>
        <w:rPr>
          <w:color w:val="auto"/>
        </w:rPr>
        <w:t>Sekundarbereich</w:t>
      </w:r>
      <w:proofErr w:type="spellEnd"/>
      <w:r>
        <w:rPr>
          <w:color w:val="auto"/>
        </w:rPr>
        <w:t xml:space="preserve"> II. Band 1. Wasserstoff, Stickstoff und Sauerstoffgruppe. </w:t>
      </w:r>
      <w:proofErr w:type="spellStart"/>
      <w:r>
        <w:rPr>
          <w:color w:val="auto"/>
        </w:rPr>
        <w:t>Aulis</w:t>
      </w:r>
      <w:proofErr w:type="spellEnd"/>
      <w:r>
        <w:rPr>
          <w:color w:val="auto"/>
        </w:rPr>
        <w:t xml:space="preserve"> Verlag </w:t>
      </w:r>
      <w:proofErr w:type="spellStart"/>
      <w:r>
        <w:rPr>
          <w:color w:val="auto"/>
        </w:rPr>
        <w:t>Deubner</w:t>
      </w:r>
      <w:proofErr w:type="spellEnd"/>
      <w:r>
        <w:rPr>
          <w:color w:val="auto"/>
        </w:rPr>
        <w:t>. Köln (2002).</w:t>
      </w:r>
    </w:p>
    <w:p w:rsidR="007B5899" w:rsidRPr="006705DF" w:rsidRDefault="007B5899" w:rsidP="007B5899">
      <w:pPr>
        <w:spacing w:after="0"/>
        <w:ind w:left="1980" w:hanging="1980"/>
        <w:rPr>
          <w:rFonts w:asciiTheme="majorHAnsi" w:hAnsiTheme="majorHAnsi"/>
          <w:color w:val="auto"/>
        </w:rPr>
      </w:pPr>
      <w:r>
        <w:rPr>
          <w:color w:val="auto"/>
        </w:rPr>
        <w:tab/>
        <w:t xml:space="preserve">Häusler, K., </w:t>
      </w:r>
      <w:proofErr w:type="spellStart"/>
      <w:r>
        <w:rPr>
          <w:color w:val="auto"/>
        </w:rPr>
        <w:t>Rampf</w:t>
      </w:r>
      <w:proofErr w:type="spellEnd"/>
      <w:r>
        <w:rPr>
          <w:color w:val="auto"/>
        </w:rPr>
        <w:t>, H., Reichelt, R., Experimente für den Chemieunterricht mit einer Einführung in die Labortechnik. Oldenburg Verlag. München (1991).</w:t>
      </w:r>
    </w:p>
    <w:p w:rsidR="007B5899" w:rsidRPr="0052115F" w:rsidRDefault="007B5899" w:rsidP="007B5899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7B5899" w:rsidRPr="0052115F" w:rsidRDefault="007B5899" w:rsidP="007B5899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DD1ECA">
        <w:rPr>
          <w:noProof/>
          <w:color w:val="auto"/>
          <w:lang w:val="en-US"/>
        </w:rPr>
      </w:r>
      <w:r w:rsidRPr="00DD1ECA">
        <w:rPr>
          <w:noProof/>
          <w:color w:val="auto"/>
          <w:lang w:val="en-US"/>
        </w:rPr>
        <w:pict>
          <v:shape id="Text Box 155" o:spid="_x0000_s1026" type="#_x0000_t202" style="width:462.45pt;height:295.1pt;visibility:visible;mso-position-horizontal-relative:char;mso-position-vertical-relative:line" fillcolor="white [3201]" strokecolor="#c0504d [3205]" strokeweight="1pt">
            <v:stroke dashstyle="dash"/>
            <v:shadow color="#868686"/>
            <v:textbox>
              <w:txbxContent>
                <w:p w:rsidR="007B5899" w:rsidRDefault="007B5899" w:rsidP="007B5899">
                  <w:r>
                    <w:rPr>
                      <w:color w:val="auto"/>
                    </w:rPr>
                    <w:t xml:space="preserve">Der Versuch muss unbedingt unter dem Abzug durchgeführt werden. Obwohl Schwefeldioxid im </w:t>
                  </w:r>
                  <w:proofErr w:type="spellStart"/>
                  <w:r>
                    <w:rPr>
                      <w:color w:val="auto"/>
                    </w:rPr>
                    <w:t>Optimalfall</w:t>
                  </w:r>
                  <w:proofErr w:type="spellEnd"/>
                  <w:r>
                    <w:rPr>
                      <w:color w:val="auto"/>
                    </w:rPr>
                    <w:t xml:space="preserve"> vollständig zu </w:t>
                  </w:r>
                  <w:proofErr w:type="spellStart"/>
                  <w:r>
                    <w:rPr>
                      <w:color w:val="auto"/>
                    </w:rPr>
                    <w:t>Schwefeltrioxid</w:t>
                  </w:r>
                  <w:proofErr w:type="spellEnd"/>
                  <w:r>
                    <w:rPr>
                      <w:color w:val="auto"/>
                    </w:rPr>
                    <w:t xml:space="preserve"> umgesetzt wird, kann nicht ausgeschlossen we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>den, dass es die Apparatur verlässt. Schwefeldioxid ist toxisch und darf nicht eingeatmet we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>den. Alternativ zu Pyrit können auch Eisen(II)</w:t>
                  </w:r>
                  <w:proofErr w:type="spellStart"/>
                  <w:r>
                    <w:rPr>
                      <w:color w:val="auto"/>
                    </w:rPr>
                    <w:t>sulfid</w:t>
                  </w:r>
                  <w:proofErr w:type="spellEnd"/>
                  <w:r>
                    <w:rPr>
                      <w:color w:val="auto"/>
                    </w:rPr>
                    <w:t xml:space="preserve"> oder elementarer Schwefel eingesetzt werden. Auch der Katalysator kann verändert werden. In der Literatur werden häufig Platink</w:t>
                  </w:r>
                  <w:r>
                    <w:rPr>
                      <w:color w:val="auto"/>
                    </w:rPr>
                    <w:t>a</w:t>
                  </w:r>
                  <w:r>
                    <w:rPr>
                      <w:color w:val="auto"/>
                    </w:rPr>
                    <w:t>talysatoren verwendet (z.B. Platin auf Al</w:t>
                  </w:r>
                  <w:r>
                    <w:rPr>
                      <w:color w:val="auto"/>
                      <w:vertAlign w:val="subscript"/>
                    </w:rPr>
                    <w:t>2</w:t>
                  </w:r>
                  <w:r>
                    <w:rPr>
                      <w:color w:val="auto"/>
                    </w:rPr>
                    <w:t>O</w:t>
                  </w:r>
                  <w:r>
                    <w:rPr>
                      <w:color w:val="auto"/>
                      <w:vertAlign w:val="subscript"/>
                    </w:rPr>
                    <w:t>3</w:t>
                  </w:r>
                  <w:r>
                    <w:rPr>
                      <w:color w:val="auto"/>
                    </w:rPr>
                    <w:t>)</w:t>
                  </w:r>
                  <w:r>
                    <w:rPr>
                      <w:color w:val="auto"/>
                      <w:vertAlign w:val="subscript"/>
                    </w:rPr>
                    <w:t xml:space="preserve">.  </w:t>
                  </w:r>
                </w:p>
                <w:p w:rsidR="007B5899" w:rsidRDefault="007B5899" w:rsidP="007B5899">
                  <w:r>
                    <w:t xml:space="preserve">Die Reaktion zwischen </w:t>
                  </w:r>
                  <w:proofErr w:type="spellStart"/>
                  <w:r>
                    <w:t>Schwefeltrioxid</w:t>
                  </w:r>
                  <w:proofErr w:type="spellEnd"/>
                  <w:r>
                    <w:t xml:space="preserve"> und Wasser zu Schwefelsäure langsam verläuft, könnte alternativ in Waschflasche zwei konzentrierte Schwefelsäure vorgelegt werden. Diese reagiert schneller mit </w:t>
                  </w:r>
                  <w:proofErr w:type="spellStart"/>
                  <w:r>
                    <w:t>Schwefeltrioxid</w:t>
                  </w:r>
                  <w:proofErr w:type="spellEnd"/>
                  <w:r>
                    <w:t xml:space="preserve"> zu </w:t>
                  </w:r>
                  <w:proofErr w:type="spellStart"/>
                  <w:r>
                    <w:t>Dischwefelsäure</w:t>
                  </w:r>
                  <w:proofErr w:type="spellEnd"/>
                  <w:r>
                    <w:t xml:space="preserve">. Allerdings sollte an dieser Stelle bedacht werden, dass es zu Verwirrungen bei den </w:t>
                  </w:r>
                  <w:proofErr w:type="spellStart"/>
                  <w:r>
                    <w:t>SuS</w:t>
                  </w:r>
                  <w:proofErr w:type="spellEnd"/>
                  <w:r>
                    <w:t xml:space="preserve"> kommen kann. Schließlich soll Schwefelsäure dargestellt werden, warum muss diese also vorgelegt werden?</w:t>
                  </w:r>
                </w:p>
                <w:p w:rsidR="007B5899" w:rsidRPr="00D66FA4" w:rsidRDefault="007B5899" w:rsidP="007B5899">
                  <w:pPr>
                    <w:rPr>
                      <w:color w:val="auto"/>
                      <w:vertAlign w:val="subscript"/>
                    </w:rPr>
                  </w:pPr>
                  <w:r>
                    <w:t>Im Anschluss an diesen Versuch bietet sich die Erarbeitung des Doppelkontaktverfahrens, der industrielle Weg der Schwefelsäuredarstellung an (vgl. Arbeitsblatt „Technische Herstellung der Schwefelsäure“).</w:t>
                  </w:r>
                </w:p>
              </w:txbxContent>
            </v:textbox>
            <w10:wrap type="none"/>
            <w10:anchorlock/>
          </v:shape>
        </w:pict>
      </w:r>
    </w:p>
    <w:p w:rsidR="00D54C31" w:rsidRDefault="00743B0E"/>
    <w:sectPr w:rsidR="00D54C31" w:rsidSect="00CA5D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899"/>
    <w:rsid w:val="003F61E8"/>
    <w:rsid w:val="006838B0"/>
    <w:rsid w:val="00721BB3"/>
    <w:rsid w:val="00741064"/>
    <w:rsid w:val="00743B0E"/>
    <w:rsid w:val="007B5899"/>
    <w:rsid w:val="00CA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899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B5899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B589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B5899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589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B589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B589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B589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589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589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5899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B5899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5899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58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B58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58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58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58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58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7B5899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5899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3603</Characters>
  <Application>Microsoft Office Word</Application>
  <DocSecurity>0</DocSecurity>
  <Lines>30</Lines>
  <Paragraphs>8</Paragraphs>
  <ScaleCrop>false</ScaleCrop>
  <Company>Frost-RL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Hiller</dc:creator>
  <cp:lastModifiedBy>Hiller</cp:lastModifiedBy>
  <cp:revision>1</cp:revision>
  <dcterms:created xsi:type="dcterms:W3CDTF">2015-08-21T14:14:00Z</dcterms:created>
  <dcterms:modified xsi:type="dcterms:W3CDTF">2015-08-21T14:15:00Z</dcterms:modified>
</cp:coreProperties>
</file>