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6DF" w:rsidRDefault="007656DF" w:rsidP="007656DF">
      <w:pPr>
        <w:pStyle w:val="berschrift2"/>
        <w:numPr>
          <w:ilvl w:val="0"/>
          <w:numId w:val="0"/>
        </w:numPr>
      </w:pPr>
      <w:bookmarkStart w:id="0" w:name="_Toc425843931"/>
      <w:r>
        <w:t xml:space="preserve"> </w:t>
      </w:r>
      <w:bookmarkEnd w:id="0"/>
      <w:r>
        <w:t>„Schwefelsäuredarstellung durch Verbrennung von Schwefel mit Kaliumnitrat“</w:t>
      </w:r>
    </w:p>
    <w:p w:rsidR="007656DF" w:rsidRPr="00B34683" w:rsidRDefault="007656DF" w:rsidP="007656DF">
      <w:pPr>
        <w:spacing w:after="0"/>
      </w:pPr>
      <w:r>
        <w:rPr>
          <w:noProof/>
          <w:lang w:eastAsia="de-DE"/>
        </w:rPr>
        <w:pict>
          <v:shapetype id="_x0000_t202" coordsize="21600,21600" o:spt="202" path="m,l,21600r21600,l21600,xe">
            <v:stroke joinstyle="miter"/>
            <v:path gradientshapeok="t" o:connecttype="rect"/>
          </v:shapetype>
          <v:shape id="_x0000_s1026" type="#_x0000_t202" style="position:absolute;left:0;text-align:left;margin-left:-3.25pt;margin-top:16.2pt;width:462.45pt;height:40.2pt;z-index:251660288;mso-width-relative:margin;mso-height-relative:margin" fillcolor="white [3201]" strokecolor="#4bacc6 [3208]" strokeweight="1pt">
            <v:stroke dashstyle="dash"/>
            <v:shadow color="#868686"/>
            <v:textbox style="mso-next-textbox:#_x0000_s1026">
              <w:txbxContent>
                <w:p w:rsidR="007656DF" w:rsidRPr="00F31EBF" w:rsidRDefault="007656DF" w:rsidP="007656DF">
                  <w:pPr>
                    <w:rPr>
                      <w:color w:val="auto"/>
                    </w:rPr>
                  </w:pPr>
                  <w:r>
                    <w:rPr>
                      <w:color w:val="auto"/>
                    </w:rPr>
                    <w:t>Dieser Versuch konnte nicht erfolgreich durchgeführt werden.</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7656DF" w:rsidRPr="009C5E28" w:rsidTr="00C262BF">
        <w:tc>
          <w:tcPr>
            <w:tcW w:w="9322" w:type="dxa"/>
            <w:gridSpan w:val="9"/>
            <w:shd w:val="clear" w:color="auto" w:fill="4F81BD"/>
            <w:vAlign w:val="center"/>
          </w:tcPr>
          <w:p w:rsidR="007656DF" w:rsidRPr="00F31EBF" w:rsidRDefault="007656DF" w:rsidP="00C262BF">
            <w:pPr>
              <w:spacing w:after="0"/>
              <w:rPr>
                <w:b/>
                <w:bCs/>
                <w:color w:val="FFFFFF" w:themeColor="background1"/>
              </w:rPr>
            </w:pPr>
            <w:r w:rsidRPr="00F31EBF">
              <w:rPr>
                <w:b/>
                <w:bCs/>
                <w:color w:val="FFFFFF" w:themeColor="background1"/>
              </w:rPr>
              <w:t>Gefahrenstoffe</w:t>
            </w:r>
          </w:p>
        </w:tc>
      </w:tr>
      <w:tr w:rsidR="007656DF" w:rsidRPr="009C5E28" w:rsidTr="00C262B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656DF" w:rsidRPr="009C5E28" w:rsidRDefault="007656DF" w:rsidP="00C262BF">
            <w:pPr>
              <w:spacing w:after="0" w:line="276" w:lineRule="auto"/>
              <w:rPr>
                <w:b/>
                <w:bCs/>
              </w:rPr>
            </w:pPr>
            <w:r>
              <w:rPr>
                <w:sz w:val="20"/>
              </w:rPr>
              <w:t>Schwefel</w:t>
            </w:r>
          </w:p>
        </w:tc>
        <w:tc>
          <w:tcPr>
            <w:tcW w:w="3177" w:type="dxa"/>
            <w:gridSpan w:val="3"/>
            <w:tcBorders>
              <w:top w:val="single" w:sz="8" w:space="0" w:color="4F81BD"/>
              <w:bottom w:val="single" w:sz="8" w:space="0" w:color="4F81BD"/>
            </w:tcBorders>
            <w:shd w:val="clear" w:color="auto" w:fill="auto"/>
            <w:vAlign w:val="center"/>
          </w:tcPr>
          <w:p w:rsidR="007656DF" w:rsidRPr="009C5E28" w:rsidRDefault="007656DF" w:rsidP="00C262BF">
            <w:pPr>
              <w:spacing w:after="0"/>
            </w:pPr>
            <w:r>
              <w:rPr>
                <w:sz w:val="20"/>
              </w:rPr>
              <w:t>H: 315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656DF" w:rsidRPr="009C5E28" w:rsidRDefault="007656DF" w:rsidP="00C262BF">
            <w:pPr>
              <w:spacing w:after="0"/>
            </w:pPr>
            <w:r>
              <w:rPr>
                <w:sz w:val="20"/>
              </w:rPr>
              <w:t>P:302+352</w:t>
            </w:r>
          </w:p>
        </w:tc>
      </w:tr>
      <w:tr w:rsidR="007656DF" w:rsidRPr="009C5E28" w:rsidTr="00C262B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656DF" w:rsidRDefault="007656DF" w:rsidP="00C262BF">
            <w:pPr>
              <w:spacing w:after="0" w:line="276" w:lineRule="auto"/>
              <w:rPr>
                <w:sz w:val="20"/>
              </w:rPr>
            </w:pPr>
            <w:r>
              <w:rPr>
                <w:sz w:val="20"/>
              </w:rPr>
              <w:t>Kaliumnitrat</w:t>
            </w:r>
          </w:p>
        </w:tc>
        <w:tc>
          <w:tcPr>
            <w:tcW w:w="3177" w:type="dxa"/>
            <w:gridSpan w:val="3"/>
            <w:tcBorders>
              <w:top w:val="single" w:sz="8" w:space="0" w:color="4F81BD"/>
              <w:bottom w:val="single" w:sz="8" w:space="0" w:color="4F81BD"/>
            </w:tcBorders>
            <w:shd w:val="clear" w:color="auto" w:fill="auto"/>
            <w:vAlign w:val="center"/>
          </w:tcPr>
          <w:p w:rsidR="007656DF" w:rsidRDefault="007656DF" w:rsidP="00C262BF">
            <w:pPr>
              <w:spacing w:after="0"/>
              <w:rPr>
                <w:sz w:val="20"/>
              </w:rPr>
            </w:pPr>
            <w:r>
              <w:rPr>
                <w:sz w:val="20"/>
              </w:rPr>
              <w:t>H: 272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656DF" w:rsidRDefault="007656DF" w:rsidP="00C262BF">
            <w:pPr>
              <w:spacing w:after="0"/>
              <w:rPr>
                <w:sz w:val="20"/>
              </w:rPr>
            </w:pPr>
            <w:r>
              <w:rPr>
                <w:sz w:val="20"/>
              </w:rPr>
              <w:t>P:210-221</w:t>
            </w:r>
          </w:p>
        </w:tc>
      </w:tr>
      <w:tr w:rsidR="007656DF" w:rsidRPr="009C5E28" w:rsidTr="00C262B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656DF" w:rsidRDefault="007656DF" w:rsidP="00C262BF">
            <w:pPr>
              <w:spacing w:after="0" w:line="276" w:lineRule="auto"/>
              <w:rPr>
                <w:sz w:val="20"/>
              </w:rPr>
            </w:pPr>
            <w:proofErr w:type="spellStart"/>
            <w:r>
              <w:rPr>
                <w:sz w:val="20"/>
              </w:rPr>
              <w:t>Bariumchlorid</w:t>
            </w:r>
            <w:proofErr w:type="spellEnd"/>
          </w:p>
        </w:tc>
        <w:tc>
          <w:tcPr>
            <w:tcW w:w="3177" w:type="dxa"/>
            <w:gridSpan w:val="3"/>
            <w:tcBorders>
              <w:top w:val="single" w:sz="8" w:space="0" w:color="4F81BD"/>
              <w:bottom w:val="single" w:sz="8" w:space="0" w:color="4F81BD"/>
            </w:tcBorders>
            <w:shd w:val="clear" w:color="auto" w:fill="auto"/>
            <w:vAlign w:val="center"/>
          </w:tcPr>
          <w:p w:rsidR="007656DF" w:rsidRDefault="007656DF" w:rsidP="00C262BF">
            <w:pPr>
              <w:spacing w:after="0"/>
              <w:rPr>
                <w:sz w:val="20"/>
              </w:rPr>
            </w:pPr>
            <w:r>
              <w:rPr>
                <w:sz w:val="20"/>
              </w:rPr>
              <w:t>H: 301-332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656DF" w:rsidRDefault="007656DF" w:rsidP="00C262BF">
            <w:pPr>
              <w:spacing w:after="0"/>
              <w:rPr>
                <w:sz w:val="20"/>
              </w:rPr>
            </w:pPr>
            <w:r>
              <w:rPr>
                <w:sz w:val="20"/>
              </w:rPr>
              <w:t>P:301+310</w:t>
            </w:r>
          </w:p>
        </w:tc>
      </w:tr>
      <w:tr w:rsidR="007656DF" w:rsidRPr="009C5E28" w:rsidTr="00C262BF">
        <w:tc>
          <w:tcPr>
            <w:tcW w:w="1009" w:type="dxa"/>
            <w:tcBorders>
              <w:top w:val="single" w:sz="8" w:space="0" w:color="4F81BD"/>
              <w:left w:val="single" w:sz="8" w:space="0" w:color="4F81BD"/>
              <w:bottom w:val="single" w:sz="8" w:space="0" w:color="4F81BD"/>
            </w:tcBorders>
            <w:shd w:val="clear" w:color="auto" w:fill="auto"/>
            <w:vAlign w:val="center"/>
          </w:tcPr>
          <w:p w:rsidR="007656DF" w:rsidRPr="009C5E28" w:rsidRDefault="007656DF" w:rsidP="00C262BF">
            <w:pPr>
              <w:spacing w:after="0"/>
              <w:jc w:val="center"/>
              <w:rPr>
                <w:b/>
                <w:bCs/>
              </w:rPr>
            </w:pPr>
            <w:r>
              <w:rPr>
                <w:b/>
                <w:noProof/>
                <w:lang w:eastAsia="de-DE"/>
              </w:rPr>
              <w:drawing>
                <wp:inline distT="0" distB="0" distL="0" distR="0">
                  <wp:extent cx="504190" cy="504190"/>
                  <wp:effectExtent l="19050" t="0" r="0" b="0"/>
                  <wp:docPr id="75"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656DF" w:rsidRPr="009C5E28" w:rsidRDefault="007656DF" w:rsidP="00C262BF">
            <w:pPr>
              <w:spacing w:after="0"/>
              <w:jc w:val="center"/>
            </w:pPr>
            <w:r>
              <w:rPr>
                <w:noProof/>
                <w:lang w:eastAsia="de-DE"/>
              </w:rPr>
              <w:drawing>
                <wp:inline distT="0" distB="0" distL="0" distR="0">
                  <wp:extent cx="504190" cy="504190"/>
                  <wp:effectExtent l="19050" t="0" r="0" b="0"/>
                  <wp:docPr id="76"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656DF" w:rsidRPr="009C5E28" w:rsidRDefault="007656DF" w:rsidP="00C262BF">
            <w:pPr>
              <w:spacing w:after="0"/>
              <w:jc w:val="center"/>
            </w:pPr>
            <w:r>
              <w:rPr>
                <w:noProof/>
                <w:lang w:eastAsia="de-DE"/>
              </w:rPr>
              <w:drawing>
                <wp:inline distT="0" distB="0" distL="0" distR="0">
                  <wp:extent cx="504190" cy="504190"/>
                  <wp:effectExtent l="0" t="0" r="0" b="0"/>
                  <wp:docPr id="77"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656DF" w:rsidRPr="009C5E28" w:rsidRDefault="007656DF" w:rsidP="00C262BF">
            <w:pPr>
              <w:spacing w:after="0"/>
              <w:jc w:val="center"/>
            </w:pPr>
            <w:r>
              <w:rPr>
                <w:noProof/>
                <w:lang w:eastAsia="de-DE"/>
              </w:rPr>
              <w:drawing>
                <wp:inline distT="0" distB="0" distL="0" distR="0">
                  <wp:extent cx="504190" cy="504190"/>
                  <wp:effectExtent l="0" t="0" r="0" b="0"/>
                  <wp:docPr id="7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7656DF" w:rsidRPr="009C5E28" w:rsidRDefault="007656DF" w:rsidP="00C262BF">
            <w:pPr>
              <w:spacing w:after="0"/>
              <w:jc w:val="center"/>
            </w:pPr>
            <w:r>
              <w:rPr>
                <w:noProof/>
                <w:lang w:eastAsia="de-DE"/>
              </w:rPr>
              <w:drawing>
                <wp:inline distT="0" distB="0" distL="0" distR="0">
                  <wp:extent cx="504190" cy="504190"/>
                  <wp:effectExtent l="0" t="0" r="0" b="0"/>
                  <wp:docPr id="79"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7656DF" w:rsidRPr="009C5E28" w:rsidRDefault="007656DF" w:rsidP="00C262BF">
            <w:pPr>
              <w:spacing w:after="0"/>
              <w:jc w:val="center"/>
            </w:pPr>
            <w:r>
              <w:rPr>
                <w:noProof/>
                <w:lang w:eastAsia="de-DE"/>
              </w:rPr>
              <w:drawing>
                <wp:inline distT="0" distB="0" distL="0" distR="0">
                  <wp:extent cx="504190" cy="504190"/>
                  <wp:effectExtent l="0" t="0" r="0" b="0"/>
                  <wp:docPr id="80"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7656DF" w:rsidRPr="009C5E28" w:rsidRDefault="007656DF" w:rsidP="00C262BF">
            <w:pPr>
              <w:spacing w:after="0"/>
              <w:jc w:val="center"/>
            </w:pPr>
            <w:r>
              <w:rPr>
                <w:noProof/>
                <w:lang w:eastAsia="de-DE"/>
              </w:rPr>
              <w:drawing>
                <wp:inline distT="0" distB="0" distL="0" distR="0">
                  <wp:extent cx="504190" cy="504190"/>
                  <wp:effectExtent l="19050" t="0" r="0" b="0"/>
                  <wp:docPr id="8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656DF" w:rsidRPr="009C5E28" w:rsidRDefault="007656DF" w:rsidP="00C262BF">
            <w:pPr>
              <w:spacing w:after="0"/>
              <w:jc w:val="center"/>
            </w:pPr>
            <w:r>
              <w:rPr>
                <w:noProof/>
                <w:lang w:eastAsia="de-DE"/>
              </w:rPr>
              <w:drawing>
                <wp:inline distT="0" distB="0" distL="0" distR="0">
                  <wp:extent cx="511175" cy="511175"/>
                  <wp:effectExtent l="19050" t="0" r="3175" b="0"/>
                  <wp:docPr id="8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7656DF" w:rsidRPr="009C5E28" w:rsidRDefault="007656DF" w:rsidP="00C262BF">
            <w:pPr>
              <w:spacing w:after="0"/>
              <w:jc w:val="center"/>
            </w:pPr>
            <w:r>
              <w:rPr>
                <w:noProof/>
                <w:lang w:eastAsia="de-DE"/>
              </w:rPr>
              <w:drawing>
                <wp:inline distT="0" distB="0" distL="0" distR="0">
                  <wp:extent cx="504190" cy="504190"/>
                  <wp:effectExtent l="0" t="0" r="0" b="0"/>
                  <wp:docPr id="8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r>
    </w:tbl>
    <w:p w:rsidR="007656DF" w:rsidRDefault="007656DF" w:rsidP="007656DF">
      <w:pPr>
        <w:tabs>
          <w:tab w:val="left" w:pos="1701"/>
          <w:tab w:val="left" w:pos="1985"/>
        </w:tabs>
        <w:ind w:left="1980" w:hanging="1980"/>
      </w:pPr>
    </w:p>
    <w:p w:rsidR="007656DF" w:rsidRDefault="007656DF" w:rsidP="007656DF">
      <w:pPr>
        <w:tabs>
          <w:tab w:val="left" w:pos="1701"/>
          <w:tab w:val="left" w:pos="1985"/>
        </w:tabs>
        <w:ind w:left="1980" w:hanging="1980"/>
      </w:pPr>
      <w:r>
        <w:t xml:space="preserve">Materialien: </w:t>
      </w:r>
      <w:r>
        <w:tab/>
      </w:r>
      <w:r>
        <w:tab/>
        <w:t>Porzellantiegel, Glastrichter, Waschflasche, Gasbrenner, Dreifuß, Verbi</w:t>
      </w:r>
      <w:r>
        <w:t>n</w:t>
      </w:r>
      <w:r>
        <w:t>dungsschlauch, Stativmaterial</w:t>
      </w:r>
    </w:p>
    <w:p w:rsidR="007656DF" w:rsidRPr="00ED07C2" w:rsidRDefault="007656DF" w:rsidP="007656DF">
      <w:pPr>
        <w:tabs>
          <w:tab w:val="left" w:pos="1701"/>
          <w:tab w:val="left" w:pos="1985"/>
        </w:tabs>
        <w:ind w:left="1980" w:hanging="1980"/>
      </w:pPr>
      <w:r>
        <w:t>Chemikalien:</w:t>
      </w:r>
      <w:r>
        <w:tab/>
      </w:r>
      <w:r>
        <w:tab/>
        <w:t xml:space="preserve">Schwefel, Kaliumnitrat, </w:t>
      </w:r>
      <w:proofErr w:type="spellStart"/>
      <w:r>
        <w:t>Bariumchlorid</w:t>
      </w:r>
      <w:proofErr w:type="spellEnd"/>
      <w:r>
        <w:t>-Lösung (w=1%)</w:t>
      </w:r>
    </w:p>
    <w:p w:rsidR="007656DF" w:rsidRDefault="007656DF" w:rsidP="007656DF">
      <w:pPr>
        <w:tabs>
          <w:tab w:val="left" w:pos="1701"/>
          <w:tab w:val="left" w:pos="1985"/>
        </w:tabs>
        <w:ind w:left="1980" w:hanging="1980"/>
      </w:pPr>
      <w:r>
        <w:rPr>
          <w:noProof/>
          <w:lang w:eastAsia="de-DE"/>
        </w:rPr>
        <w:drawing>
          <wp:anchor distT="0" distB="0" distL="114300" distR="114300" simplePos="0" relativeHeight="251661312" behindDoc="1" locked="0" layoutInCell="1" allowOverlap="1">
            <wp:simplePos x="0" y="0"/>
            <wp:positionH relativeFrom="column">
              <wp:posOffset>1281430</wp:posOffset>
            </wp:positionH>
            <wp:positionV relativeFrom="paragraph">
              <wp:posOffset>1479550</wp:posOffset>
            </wp:positionV>
            <wp:extent cx="3914775" cy="2257425"/>
            <wp:effectExtent l="19050" t="0" r="9525" b="0"/>
            <wp:wrapTight wrapText="bothSides">
              <wp:wrapPolygon edited="0">
                <wp:start x="-105" y="0"/>
                <wp:lineTo x="-105" y="21509"/>
                <wp:lineTo x="21653" y="21509"/>
                <wp:lineTo x="21653" y="0"/>
                <wp:lineTo x="-105" y="0"/>
              </wp:wrapPolygon>
            </wp:wrapTight>
            <wp:docPr id="8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tretch>
                      <a:fillRect/>
                    </a:stretch>
                  </pic:blipFill>
                  <pic:spPr bwMode="auto">
                    <a:xfrm>
                      <a:off x="0" y="0"/>
                      <a:ext cx="3914775" cy="2257425"/>
                    </a:xfrm>
                    <a:prstGeom prst="rect">
                      <a:avLst/>
                    </a:prstGeom>
                    <a:noFill/>
                    <a:ln w="9525">
                      <a:noFill/>
                      <a:miter lim="800000"/>
                      <a:headEnd/>
                      <a:tailEnd/>
                    </a:ln>
                  </pic:spPr>
                </pic:pic>
              </a:graphicData>
            </a:graphic>
          </wp:anchor>
        </w:drawing>
      </w:r>
      <w:r>
        <w:t xml:space="preserve">Durchführung:  </w:t>
      </w:r>
      <w:r>
        <w:tab/>
      </w:r>
      <w:r>
        <w:tab/>
        <w:t xml:space="preserve">Der  detaillierte Aufbau der Apparatur ist Abbildung 5 zu entnehmen. In den Porzellantiegel werden etwa fünf </w:t>
      </w:r>
      <w:proofErr w:type="spellStart"/>
      <w:r>
        <w:t>Spatelportionen</w:t>
      </w:r>
      <w:proofErr w:type="spellEnd"/>
      <w:r>
        <w:t xml:space="preserve"> Kaliumnitrat geg</w:t>
      </w:r>
      <w:r>
        <w:t>e</w:t>
      </w:r>
      <w:r>
        <w:t xml:space="preserve">ben und eine </w:t>
      </w:r>
      <w:proofErr w:type="spellStart"/>
      <w:r>
        <w:t>Spatelportion</w:t>
      </w:r>
      <w:proofErr w:type="spellEnd"/>
      <w:r>
        <w:t xml:space="preserve"> Schwefel hinzugefügt. Die Waschflasche wird zu einem Drittel mit </w:t>
      </w:r>
      <w:proofErr w:type="spellStart"/>
      <w:r>
        <w:t>Bariumchlorid</w:t>
      </w:r>
      <w:proofErr w:type="spellEnd"/>
      <w:r>
        <w:t xml:space="preserve">-Lösung gefüllt, Vakuum wird gezogen und der Tiegel wird so lange mit starker Flamme erhitzt, bis eine starke Verbrennung einsetzt. </w:t>
      </w:r>
    </w:p>
    <w:p w:rsidR="007656DF" w:rsidRDefault="007656DF" w:rsidP="007656DF">
      <w:pPr>
        <w:tabs>
          <w:tab w:val="left" w:pos="1701"/>
          <w:tab w:val="left" w:pos="1985"/>
        </w:tabs>
      </w:pPr>
      <w:r>
        <w:tab/>
      </w:r>
      <w:r>
        <w:tab/>
      </w:r>
      <w:r>
        <w:tab/>
      </w:r>
      <w:r>
        <w:tab/>
      </w:r>
      <w:r>
        <w:tab/>
      </w:r>
      <w:r>
        <w:tab/>
      </w:r>
      <w:r>
        <w:tab/>
      </w:r>
      <w:r>
        <w:tab/>
      </w:r>
      <w:r>
        <w:tab/>
      </w:r>
      <w:r>
        <w:tab/>
      </w:r>
      <w:r>
        <w:tab/>
      </w:r>
      <w:r>
        <w:tab/>
      </w:r>
      <w:r>
        <w:tab/>
      </w:r>
      <w:r>
        <w:tab/>
      </w:r>
      <w:r>
        <w:tab/>
      </w:r>
      <w:r>
        <w:tab/>
      </w:r>
      <w:r>
        <w:tab/>
      </w:r>
      <w:r>
        <w:tab/>
      </w:r>
      <w:r>
        <w:tab/>
      </w:r>
      <w:r>
        <w:tab/>
      </w:r>
      <w:r>
        <w:tab/>
      </w:r>
    </w:p>
    <w:p w:rsidR="007656DF" w:rsidRDefault="007656DF" w:rsidP="007656DF">
      <w:pPr>
        <w:keepNext/>
        <w:tabs>
          <w:tab w:val="left" w:pos="1701"/>
          <w:tab w:val="left" w:pos="1985"/>
        </w:tabs>
        <w:ind w:left="1980" w:hanging="1980"/>
      </w:pPr>
    </w:p>
    <w:p w:rsidR="007656DF" w:rsidRDefault="007656DF" w:rsidP="007656DF">
      <w:pPr>
        <w:pStyle w:val="Beschriftung"/>
        <w:jc w:val="left"/>
      </w:pPr>
    </w:p>
    <w:p w:rsidR="007656DF" w:rsidRDefault="007656DF" w:rsidP="007656DF">
      <w:pPr>
        <w:pStyle w:val="Beschriftung"/>
        <w:jc w:val="left"/>
      </w:pPr>
    </w:p>
    <w:p w:rsidR="007656DF" w:rsidRDefault="007656DF" w:rsidP="007656DF">
      <w:pPr>
        <w:pStyle w:val="Beschriftung"/>
        <w:jc w:val="left"/>
      </w:pPr>
    </w:p>
    <w:p w:rsidR="007656DF" w:rsidRDefault="007656DF" w:rsidP="007656DF">
      <w:pPr>
        <w:pStyle w:val="Beschriftung"/>
        <w:jc w:val="left"/>
      </w:pPr>
    </w:p>
    <w:p w:rsidR="007656DF" w:rsidRDefault="007656DF" w:rsidP="007656DF">
      <w:pPr>
        <w:pStyle w:val="Beschriftung"/>
        <w:jc w:val="left"/>
      </w:pPr>
    </w:p>
    <w:p w:rsidR="007656DF" w:rsidRDefault="007656DF" w:rsidP="007656DF">
      <w:pPr>
        <w:pStyle w:val="Beschriftung"/>
        <w:jc w:val="left"/>
      </w:pPr>
    </w:p>
    <w:p w:rsidR="007656DF" w:rsidRDefault="007656DF" w:rsidP="007656DF">
      <w:pPr>
        <w:pStyle w:val="Beschriftung"/>
        <w:ind w:left="1416"/>
        <w:jc w:val="left"/>
      </w:pPr>
      <w:r>
        <w:t xml:space="preserve">                 Abb. 5 - </w:t>
      </w:r>
      <w:r>
        <w:rPr>
          <w:noProof/>
        </w:rPr>
        <w:t xml:space="preserve"> Apparatur zur Verbrennung von Schwefel mit Kaliumnitrat.</w:t>
      </w:r>
      <w:r>
        <w:t xml:space="preserve">            </w:t>
      </w:r>
    </w:p>
    <w:p w:rsidR="007656DF" w:rsidRDefault="007656DF" w:rsidP="007656DF">
      <w:pPr>
        <w:ind w:left="2124" w:hanging="2124"/>
      </w:pPr>
      <w:r>
        <w:lastRenderedPageBreak/>
        <w:t>Beobachtung:</w:t>
      </w:r>
      <w:r>
        <w:tab/>
        <w:t xml:space="preserve">Die starke Verbrennung blieb aus. Auch in einem zweiten Versuchsansatz, in dem zunächst das Kaliumnitrat geschmolzen worden ist und dann mit Schwefel versetzt wurde, konnte keine Reaktion beobachtet werden. </w:t>
      </w:r>
    </w:p>
    <w:p w:rsidR="007656DF" w:rsidRDefault="007656DF" w:rsidP="007656DF">
      <w:pPr>
        <w:ind w:left="2124"/>
      </w:pPr>
      <w:r>
        <w:t>Theoretische Beobachtung: Das Kaliumnitrat und der Schwefel schme</w:t>
      </w:r>
      <w:r>
        <w:t>l</w:t>
      </w:r>
      <w:r>
        <w:t>zen. Es setzt eine heftige Reaktion ein und eine helle, stechend weiße Flamme ist zu beobachten. Die Apparatur füllt sich mit weißem Rauch. Nach einigen Minuten trübt sich die Lösung in der Waschflasche.</w:t>
      </w:r>
    </w:p>
    <w:p w:rsidR="007656DF" w:rsidRDefault="007656DF" w:rsidP="007656DF">
      <w:pPr>
        <w:ind w:left="2124" w:hanging="2124"/>
      </w:pPr>
      <w:r>
        <w:t>Deutung:</w:t>
      </w:r>
      <w:r>
        <w:tab/>
        <w:t xml:space="preserve">Bevor der Schwefel mit dem Kaliumnitrat zu </w:t>
      </w:r>
      <w:proofErr w:type="spellStart"/>
      <w:r>
        <w:t>Schwefeltrioxid</w:t>
      </w:r>
      <w:proofErr w:type="spellEnd"/>
      <w:r>
        <w:t xml:space="preserve"> und Kaliu</w:t>
      </w:r>
      <w:r>
        <w:t>m</w:t>
      </w:r>
      <w:r>
        <w:t xml:space="preserve">nitrit reagieren konnte, oxidierte er komplett mit dem Sauerstoff der Luft zu Schwefeldioxid. </w:t>
      </w:r>
      <w:proofErr w:type="spellStart"/>
      <w:r>
        <w:t>Schwefeltrioxid</w:t>
      </w:r>
      <w:proofErr w:type="spellEnd"/>
      <w:r>
        <w:t xml:space="preserve"> konnte sich nicht bilden, folglich war kein weißer Rauch zu erkennen und in der </w:t>
      </w:r>
      <w:proofErr w:type="spellStart"/>
      <w:r>
        <w:t>Bariumchlorid</w:t>
      </w:r>
      <w:proofErr w:type="spellEnd"/>
      <w:r>
        <w:t xml:space="preserve">-Lösung fiel kein Niederschlag aus. Schwefelsäure hatte sich nicht gebildet. </w:t>
      </w:r>
    </w:p>
    <w:p w:rsidR="007656DF" w:rsidRDefault="007656DF" w:rsidP="007656DF">
      <w:pPr>
        <w:tabs>
          <w:tab w:val="left" w:pos="1701"/>
          <w:tab w:val="left" w:pos="1985"/>
        </w:tabs>
        <w:ind w:left="2124" w:hanging="2124"/>
      </w:pPr>
      <w:r>
        <w:t>Entsorgung:</w:t>
      </w:r>
      <w:r>
        <w:tab/>
        <w:t xml:space="preserve">         </w:t>
      </w:r>
      <w:proofErr w:type="spellStart"/>
      <w:r>
        <w:t>Bariumchlorid</w:t>
      </w:r>
      <w:proofErr w:type="spellEnd"/>
      <w:r>
        <w:t xml:space="preserve">-Lösung wird durch Zugabe von Schwefelsäure in </w:t>
      </w:r>
      <w:proofErr w:type="spellStart"/>
      <w:r>
        <w:t>Bariumsulfat</w:t>
      </w:r>
      <w:proofErr w:type="spellEnd"/>
      <w:r>
        <w:t xml:space="preserve"> überführt und </w:t>
      </w:r>
      <w:proofErr w:type="spellStart"/>
      <w:r>
        <w:t>abfiltriert</w:t>
      </w:r>
      <w:proofErr w:type="spellEnd"/>
      <w:r>
        <w:t xml:space="preserve">. Entsorgung im Behälter für Feste Schwermetallverbindungen. </w:t>
      </w:r>
    </w:p>
    <w:p w:rsidR="007656DF" w:rsidRPr="00F05A47" w:rsidRDefault="007656DF" w:rsidP="007656DF">
      <w:pPr>
        <w:ind w:left="2124" w:hanging="2124"/>
        <w:jc w:val="left"/>
      </w:pPr>
      <w:r>
        <w:t>Literatur:</w:t>
      </w:r>
      <w:r>
        <w:tab/>
      </w:r>
      <w:r>
        <w:rPr>
          <w:color w:val="auto"/>
        </w:rPr>
        <w:t xml:space="preserve">Glöckner, W., Jansen, W., </w:t>
      </w:r>
      <w:proofErr w:type="spellStart"/>
      <w:r>
        <w:rPr>
          <w:color w:val="auto"/>
        </w:rPr>
        <w:t>Weissenhorn</w:t>
      </w:r>
      <w:proofErr w:type="spellEnd"/>
      <w:r>
        <w:rPr>
          <w:color w:val="auto"/>
        </w:rPr>
        <w:t>, R.G. (Hrsg.), Handbuch der exp</w:t>
      </w:r>
      <w:r>
        <w:rPr>
          <w:color w:val="auto"/>
        </w:rPr>
        <w:t>e</w:t>
      </w:r>
      <w:r>
        <w:rPr>
          <w:color w:val="auto"/>
        </w:rPr>
        <w:t xml:space="preserve">rimentellen Chemie. </w:t>
      </w:r>
      <w:proofErr w:type="spellStart"/>
      <w:r>
        <w:rPr>
          <w:color w:val="auto"/>
        </w:rPr>
        <w:t>Sekundarbereich</w:t>
      </w:r>
      <w:proofErr w:type="spellEnd"/>
      <w:r>
        <w:rPr>
          <w:color w:val="auto"/>
        </w:rPr>
        <w:t xml:space="preserve"> II. Band 1. Wasserstoff, Stickstoff und Sauerstoffgruppe. </w:t>
      </w:r>
      <w:proofErr w:type="spellStart"/>
      <w:r>
        <w:rPr>
          <w:color w:val="auto"/>
        </w:rPr>
        <w:t>Aulis</w:t>
      </w:r>
      <w:proofErr w:type="spellEnd"/>
      <w:r>
        <w:rPr>
          <w:color w:val="auto"/>
        </w:rPr>
        <w:t xml:space="preserve"> Verlag </w:t>
      </w:r>
      <w:proofErr w:type="spellStart"/>
      <w:r>
        <w:rPr>
          <w:color w:val="auto"/>
        </w:rPr>
        <w:t>Deubner</w:t>
      </w:r>
      <w:proofErr w:type="spellEnd"/>
      <w:r>
        <w:rPr>
          <w:color w:val="auto"/>
        </w:rPr>
        <w:t>. Köln (2002).</w:t>
      </w:r>
    </w:p>
    <w:p w:rsidR="00D54C31" w:rsidRDefault="00B308F5"/>
    <w:sectPr w:rsidR="00D54C31" w:rsidSect="00CA5D7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656DF"/>
    <w:rsid w:val="003F61E8"/>
    <w:rsid w:val="006568D0"/>
    <w:rsid w:val="006838B0"/>
    <w:rsid w:val="00741064"/>
    <w:rsid w:val="007656DF"/>
    <w:rsid w:val="00B308F5"/>
    <w:rsid w:val="00CA5D7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56DF"/>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7656DF"/>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7656DF"/>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656D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7656D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656D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656D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656D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656D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656D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56DF"/>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7656D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7656DF"/>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7656D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656D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656D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656D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656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656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7656DF"/>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7656D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56DF"/>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1861</Characters>
  <Application>Microsoft Office Word</Application>
  <DocSecurity>0</DocSecurity>
  <Lines>15</Lines>
  <Paragraphs>4</Paragraphs>
  <ScaleCrop>false</ScaleCrop>
  <Company>Frost-RL</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Hiller</dc:creator>
  <cp:lastModifiedBy>Hiller</cp:lastModifiedBy>
  <cp:revision>1</cp:revision>
  <dcterms:created xsi:type="dcterms:W3CDTF">2015-08-21T14:23:00Z</dcterms:created>
  <dcterms:modified xsi:type="dcterms:W3CDTF">2015-08-21T14:23:00Z</dcterms:modified>
</cp:coreProperties>
</file>