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5" w:rsidRPr="0052115F" w:rsidRDefault="00C55185" w:rsidP="00C55185">
      <w:pPr>
        <w:pStyle w:val="berschrift1"/>
        <w:numPr>
          <w:ilvl w:val="0"/>
          <w:numId w:val="0"/>
        </w:numPr>
        <w:spacing w:before="0"/>
        <w:ind w:left="432" w:hanging="432"/>
        <w:rPr>
          <w:color w:val="auto"/>
        </w:rPr>
      </w:pPr>
      <w:bookmarkStart w:id="0" w:name="_Toc425776596"/>
      <w:r w:rsidRPr="00DD1ECA">
        <w:rPr>
          <w:noProof/>
          <w:color w:val="auto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6" o:spid="_x0000_s1027" type="#_x0000_t202" style="position:absolute;left:0;text-align:left;margin-left:-3.65pt;margin-top:51pt;width:462.45pt;height:8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" fillcolor="white [3201]" strokecolor="#4bacc6 [3208]" strokeweight="1pt">
            <v:stroke dashstyle="dash"/>
            <v:shadow color="#868686"/>
            <v:textbox>
              <w:txbxContent>
                <w:p w:rsidR="00C55185" w:rsidRPr="00F31EBF" w:rsidRDefault="00C55185" w:rsidP="00C5518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Schülerversuch wird Eisensulfat thermisch gespalten. Dabei entsteht als Produkt u.a. Schwefelsäure, die mittels Indikatorpapier und </w:t>
                  </w:r>
                  <w:proofErr w:type="spellStart"/>
                  <w:r>
                    <w:rPr>
                      <w:color w:val="auto"/>
                    </w:rPr>
                    <w:t>Bariumchlorid</w:t>
                  </w:r>
                  <w:proofErr w:type="spellEnd"/>
                  <w:r>
                    <w:rPr>
                      <w:color w:val="auto"/>
                    </w:rPr>
                    <w:t xml:space="preserve">-Lösung nachgewiesen werden kann.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dürfen mit </w:t>
                  </w:r>
                  <w:proofErr w:type="spellStart"/>
                  <w:r>
                    <w:rPr>
                      <w:color w:val="auto"/>
                    </w:rPr>
                    <w:t>Bariumchlorid</w:t>
                  </w:r>
                  <w:proofErr w:type="spellEnd"/>
                  <w:r>
                    <w:rPr>
                      <w:color w:val="auto"/>
                    </w:rPr>
                    <w:t xml:space="preserve"> arbeiten, es sollte jedoch bedacht werden, dass </w:t>
                  </w:r>
                  <w:proofErr w:type="spellStart"/>
                  <w:r>
                    <w:rPr>
                      <w:color w:val="auto"/>
                    </w:rPr>
                    <w:t>Bariumchlorid</w:t>
                  </w:r>
                  <w:proofErr w:type="spellEnd"/>
                  <w:r>
                    <w:rPr>
                      <w:color w:val="auto"/>
                    </w:rPr>
                    <w:t xml:space="preserve"> toxisch ist und ein aufmerksames und umsichtiges Arbeiten nötig ist.</w:t>
                  </w:r>
                </w:p>
              </w:txbxContent>
            </v:textbox>
            <w10:wrap type="square"/>
          </v:shape>
        </w:pict>
      </w:r>
      <w:bookmarkEnd w:id="0"/>
      <w:r w:rsidRPr="0052115F">
        <w:rPr>
          <w:color w:val="auto"/>
        </w:rPr>
        <w:t xml:space="preserve"> „</w:t>
      </w:r>
      <w:r>
        <w:rPr>
          <w:color w:val="auto"/>
        </w:rPr>
        <w:t>Thermolyse von Eisensulfat</w:t>
      </w:r>
      <w:r w:rsidRPr="0052115F">
        <w:rPr>
          <w:color w:val="auto"/>
        </w:rPr>
        <w:t>“</w:t>
      </w:r>
    </w:p>
    <w:p w:rsidR="00C55185" w:rsidRDefault="00C55185" w:rsidP="00C55185">
      <w:pPr>
        <w:tabs>
          <w:tab w:val="left" w:pos="1701"/>
          <w:tab w:val="left" w:pos="1985"/>
        </w:tabs>
        <w:rPr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55185" w:rsidRPr="009C5E28" w:rsidTr="00135934">
        <w:tc>
          <w:tcPr>
            <w:tcW w:w="9322" w:type="dxa"/>
            <w:gridSpan w:val="9"/>
            <w:shd w:val="clear" w:color="auto" w:fill="4F81BD"/>
            <w:vAlign w:val="center"/>
          </w:tcPr>
          <w:p w:rsidR="00C55185" w:rsidRPr="009C5E28" w:rsidRDefault="00C55185" w:rsidP="0013593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55185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Bariumchlorid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rPr>
                <w:color w:val="auto"/>
                <w:sz w:val="20"/>
                <w:szCs w:val="20"/>
              </w:rPr>
            </w:pPr>
            <w:r w:rsidRPr="009C5E28">
              <w:rPr>
                <w:color w:val="auto"/>
                <w:sz w:val="20"/>
                <w:szCs w:val="20"/>
              </w:rPr>
              <w:t xml:space="preserve">H: </w:t>
            </w:r>
            <w:r>
              <w:t>301-332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rPr>
                <w:color w:val="auto"/>
                <w:sz w:val="20"/>
                <w:szCs w:val="20"/>
              </w:rPr>
            </w:pPr>
            <w:r w:rsidRPr="009C5E28">
              <w:rPr>
                <w:color w:val="auto"/>
                <w:sz w:val="20"/>
                <w:szCs w:val="20"/>
              </w:rPr>
              <w:t xml:space="preserve">P: </w:t>
            </w:r>
            <w:r>
              <w:t>301+310</w:t>
            </w:r>
          </w:p>
        </w:tc>
      </w:tr>
      <w:tr w:rsidR="00C55185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Eisen(III)-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 302-315-318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P:280-301+312-302+352-305+351+338-310-501</w:t>
            </w:r>
          </w:p>
        </w:tc>
      </w:tr>
      <w:tr w:rsidR="00C55185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55185" w:rsidRDefault="00C55185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Eisen(III)-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oxid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55185" w:rsidRDefault="00C55185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55185" w:rsidRDefault="00C55185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55185" w:rsidRPr="009C5E28" w:rsidTr="00135934">
        <w:tc>
          <w:tcPr>
            <w:tcW w:w="1009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7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8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9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0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1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2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3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44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185" w:rsidRPr="009C5E28" w:rsidRDefault="00C55185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5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185" w:rsidRPr="0052115F" w:rsidRDefault="00C55185" w:rsidP="00C55185">
      <w:pPr>
        <w:tabs>
          <w:tab w:val="left" w:pos="1701"/>
          <w:tab w:val="left" w:pos="1985"/>
        </w:tabs>
        <w:rPr>
          <w:color w:val="auto"/>
        </w:rPr>
      </w:pPr>
    </w:p>
    <w:p w:rsidR="00C55185" w:rsidRPr="0052115F" w:rsidRDefault="00C55185" w:rsidP="00C5518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 xml:space="preserve">Materialien: 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ab/>
        <w:t xml:space="preserve">Reagenzglas (Duran), durchbohrter Stopfen, Winkelrohr (90°), 50 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>-Becherglas, Gasbrenner, Spatel, Hexe</w:t>
      </w:r>
    </w:p>
    <w:p w:rsidR="00C55185" w:rsidRPr="0052115F" w:rsidRDefault="00C55185" w:rsidP="00C5518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>Chemikalien: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>Eisen(III)-</w:t>
      </w:r>
      <w:proofErr w:type="spellStart"/>
      <w:r>
        <w:rPr>
          <w:color w:val="auto"/>
        </w:rPr>
        <w:t>sulfat</w:t>
      </w:r>
      <w:proofErr w:type="spellEnd"/>
      <w:r>
        <w:rPr>
          <w:color w:val="auto"/>
        </w:rPr>
        <w:t xml:space="preserve"> (Fe</w:t>
      </w:r>
      <w:r w:rsidRPr="00781618">
        <w:rPr>
          <w:color w:val="auto"/>
          <w:vertAlign w:val="subscript"/>
        </w:rPr>
        <w:t>2</w:t>
      </w:r>
      <w:r>
        <w:rPr>
          <w:color w:val="auto"/>
        </w:rPr>
        <w:t>(SO</w:t>
      </w:r>
      <w:r w:rsidRPr="00781618">
        <w:rPr>
          <w:color w:val="auto"/>
          <w:vertAlign w:val="subscript"/>
        </w:rPr>
        <w:t>4</w:t>
      </w:r>
      <w:r>
        <w:rPr>
          <w:color w:val="auto"/>
        </w:rPr>
        <w:t xml:space="preserve">)),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>-Lösung (w(BaCl</w:t>
      </w:r>
      <w:r w:rsidRPr="00781618">
        <w:rPr>
          <w:color w:val="auto"/>
          <w:vertAlign w:val="subscript"/>
        </w:rPr>
        <w:t>2</w:t>
      </w:r>
      <w:r>
        <w:rPr>
          <w:color w:val="auto"/>
        </w:rPr>
        <w:t>)= 1%)</w:t>
      </w:r>
    </w:p>
    <w:p w:rsidR="00C55185" w:rsidRDefault="00C55185" w:rsidP="00C5518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 xml:space="preserve">Durchführung: 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>Das Reagenzglas wird etwa 2 cm hoch mit Eisen(III)</w:t>
      </w:r>
      <w:proofErr w:type="spellStart"/>
      <w:r>
        <w:rPr>
          <w:color w:val="auto"/>
        </w:rPr>
        <w:t>sulfat</w:t>
      </w:r>
      <w:proofErr w:type="spellEnd"/>
      <w:r>
        <w:rPr>
          <w:color w:val="auto"/>
        </w:rPr>
        <w:t xml:space="preserve"> gefüllt und mit dem Stopfen samt Winkelrohr geschlossen. Das Becherglas wird mit 30 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>-Lösung gefüllt und auf eine Hexe gestellt. Das Sulfat im Re</w:t>
      </w:r>
      <w:r>
        <w:rPr>
          <w:color w:val="auto"/>
        </w:rPr>
        <w:t>a</w:t>
      </w:r>
      <w:r>
        <w:rPr>
          <w:color w:val="auto"/>
        </w:rPr>
        <w:t>genzglas wird stark erhitzt, sobald eine Veränderung wahrgenommen we</w:t>
      </w:r>
      <w:r>
        <w:rPr>
          <w:color w:val="auto"/>
        </w:rPr>
        <w:t>r</w:t>
      </w:r>
      <w:r>
        <w:rPr>
          <w:color w:val="auto"/>
        </w:rPr>
        <w:t xml:space="preserve">den kann, wird angefeuchtetes Indikatorpapier vor das Winkelrohr gehalten. Das Winkelrohr wird im Anschluss in die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>-Lösung g</w:t>
      </w:r>
      <w:r>
        <w:rPr>
          <w:color w:val="auto"/>
        </w:rPr>
        <w:t>e</w:t>
      </w:r>
      <w:r>
        <w:rPr>
          <w:color w:val="auto"/>
        </w:rPr>
        <w:t xml:space="preserve">taucht. </w:t>
      </w:r>
    </w:p>
    <w:p w:rsidR="00C55185" w:rsidRDefault="00C55185" w:rsidP="00C55185">
      <w:pPr>
        <w:keepNext/>
        <w:tabs>
          <w:tab w:val="left" w:pos="1701"/>
          <w:tab w:val="left" w:pos="1985"/>
        </w:tabs>
        <w:spacing w:after="0"/>
        <w:ind w:left="1980" w:hanging="1980"/>
      </w:pPr>
      <w:r>
        <w:rPr>
          <w:color w:val="auto"/>
        </w:rPr>
        <w:lastRenderedPageBreak/>
        <w:tab/>
      </w:r>
      <w:r>
        <w:rPr>
          <w:color w:val="auto"/>
        </w:rPr>
        <w:tab/>
      </w:r>
      <w:r>
        <w:rPr>
          <w:noProof/>
          <w:color w:val="auto"/>
          <w:lang w:eastAsia="de-DE"/>
        </w:rPr>
        <w:drawing>
          <wp:inline distT="0" distB="0" distL="0" distR="0">
            <wp:extent cx="3024804" cy="2572909"/>
            <wp:effectExtent l="19050" t="0" r="4146" b="0"/>
            <wp:docPr id="10" name="Grafik 9" descr="Zeichn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chnung.png"/>
                    <pic:cNvPicPr/>
                  </pic:nvPicPr>
                  <pic:blipFill>
                    <a:blip r:embed="rId14" cstate="print"/>
                    <a:srcRect t="32947" b="6995"/>
                    <a:stretch>
                      <a:fillRect/>
                    </a:stretch>
                  </pic:blipFill>
                  <pic:spPr>
                    <a:xfrm>
                      <a:off x="0" y="0"/>
                      <a:ext cx="3024804" cy="257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85" w:rsidRPr="0052115F" w:rsidRDefault="00C55185" w:rsidP="00C55185">
      <w:pPr>
        <w:pStyle w:val="Beschriftung"/>
        <w:ind w:left="1272" w:firstLine="708"/>
      </w:pPr>
      <w:r>
        <w:t>Abb.3 – Versuchsaufbau für die Thermolyse von Eisensulfat.</w:t>
      </w:r>
    </w:p>
    <w:p w:rsidR="00C55185" w:rsidRDefault="00C55185" w:rsidP="00C55185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C55185" w:rsidRDefault="00C55185" w:rsidP="00C5518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>Beobachtung: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>Das Eisensulfat verfärbt sich langsam rötlich. Am Rand des Reagenzglases, ins Besondere im Bereich des Stopfens kondensiert eine farblose Flüssi</w:t>
      </w:r>
      <w:r>
        <w:rPr>
          <w:color w:val="auto"/>
        </w:rPr>
        <w:t>g</w:t>
      </w:r>
      <w:r>
        <w:rPr>
          <w:color w:val="auto"/>
        </w:rPr>
        <w:t xml:space="preserve">keit. Das Indikatorpapier färbt sich rot. Die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>-Lösung trübt sich leicht (erst nach Schräghalten des Reagenzglases).</w:t>
      </w:r>
    </w:p>
    <w:p w:rsidR="00C55185" w:rsidRDefault="00C55185" w:rsidP="00C55185">
      <w:pPr>
        <w:tabs>
          <w:tab w:val="left" w:pos="1701"/>
          <w:tab w:val="left" w:pos="1985"/>
        </w:tabs>
        <w:spacing w:after="0"/>
        <w:ind w:left="1980" w:hanging="1980"/>
        <w:rPr>
          <w:color w:val="auto"/>
        </w:rPr>
      </w:pPr>
      <w:r w:rsidRPr="0052115F">
        <w:rPr>
          <w:color w:val="auto"/>
        </w:rPr>
        <w:t>Deutung:</w:t>
      </w:r>
      <w:r>
        <w:rPr>
          <w:color w:val="auto"/>
        </w:rPr>
        <w:tab/>
        <w:t xml:space="preserve">     Eisen(III)-</w:t>
      </w:r>
      <w:proofErr w:type="spellStart"/>
      <w:r>
        <w:rPr>
          <w:color w:val="auto"/>
        </w:rPr>
        <w:t>sulfat</w:t>
      </w:r>
      <w:proofErr w:type="spellEnd"/>
      <w:r>
        <w:rPr>
          <w:color w:val="auto"/>
        </w:rPr>
        <w:t xml:space="preserve"> kann thermisch gespalten werden. Als Reaktionsprodukte entstehen neben Schwefelsäure, Eisen(III)-</w:t>
      </w:r>
      <w:proofErr w:type="spellStart"/>
      <w:r>
        <w:rPr>
          <w:color w:val="auto"/>
        </w:rPr>
        <w:t>oxid</w:t>
      </w:r>
      <w:proofErr w:type="spellEnd"/>
      <w:r>
        <w:rPr>
          <w:color w:val="auto"/>
        </w:rPr>
        <w:t xml:space="preserve"> und Wasser. </w:t>
      </w:r>
    </w:p>
    <w:p w:rsidR="00C55185" w:rsidRPr="00690EE6" w:rsidRDefault="00C55185" w:rsidP="00C55185">
      <w:r>
        <w:rPr>
          <w:color w:val="auto"/>
        </w:rPr>
        <w:br/>
      </w: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(S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∙9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→3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aq</m:t>
                      </m:r>
                    </m:e>
                  </m:d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+6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</m:oMath>
      </m:oMathPara>
    </w:p>
    <w:p w:rsidR="00C55185" w:rsidRDefault="00C55185" w:rsidP="00C5518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Entsorgung:</w:t>
      </w:r>
      <w:r>
        <w:rPr>
          <w:color w:val="auto"/>
        </w:rPr>
        <w:tab/>
      </w:r>
      <w:r>
        <w:rPr>
          <w:color w:val="auto"/>
        </w:rPr>
        <w:tab/>
        <w:t xml:space="preserve">Die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 xml:space="preserve">-Lösung wird durch Zugabe von Schwefelsäure in </w:t>
      </w:r>
      <w:proofErr w:type="spellStart"/>
      <w:r>
        <w:rPr>
          <w:color w:val="auto"/>
        </w:rPr>
        <w:t>Bariumsulfat</w:t>
      </w:r>
      <w:proofErr w:type="spellEnd"/>
      <w:r>
        <w:rPr>
          <w:color w:val="auto"/>
        </w:rPr>
        <w:t xml:space="preserve"> überführt und </w:t>
      </w:r>
      <w:proofErr w:type="spellStart"/>
      <w:r>
        <w:rPr>
          <w:color w:val="auto"/>
        </w:rPr>
        <w:t>abfiltriert</w:t>
      </w:r>
      <w:proofErr w:type="spellEnd"/>
      <w:r>
        <w:rPr>
          <w:color w:val="auto"/>
        </w:rPr>
        <w:t>. Die Entsorgung erfolgt im Schwe</w:t>
      </w:r>
      <w:r>
        <w:rPr>
          <w:color w:val="auto"/>
        </w:rPr>
        <w:t>r</w:t>
      </w:r>
      <w:r>
        <w:rPr>
          <w:color w:val="auto"/>
        </w:rPr>
        <w:t>metallbehälter (Feststoffe). Das entstandene Eisenoxid kann zu den Fes</w:t>
      </w:r>
      <w:r>
        <w:rPr>
          <w:color w:val="auto"/>
        </w:rPr>
        <w:t>t</w:t>
      </w:r>
      <w:r>
        <w:rPr>
          <w:color w:val="auto"/>
        </w:rPr>
        <w:t>stoffabfällen gegeben werden.</w:t>
      </w:r>
    </w:p>
    <w:p w:rsidR="00C55185" w:rsidRPr="0052115F" w:rsidRDefault="00C55185" w:rsidP="00C55185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rPr>
          <w:color w:val="auto"/>
        </w:rPr>
        <w:tab/>
        <w:t xml:space="preserve">Glöckner, W., Jansen, W., </w:t>
      </w:r>
      <w:proofErr w:type="spellStart"/>
      <w:r>
        <w:rPr>
          <w:color w:val="auto"/>
        </w:rPr>
        <w:t>Weissenhorn</w:t>
      </w:r>
      <w:proofErr w:type="spellEnd"/>
      <w:r>
        <w:rPr>
          <w:color w:val="auto"/>
        </w:rPr>
        <w:t>, R.G. (Hrsg.), Handbuch der exper</w:t>
      </w:r>
      <w:r>
        <w:rPr>
          <w:color w:val="auto"/>
        </w:rPr>
        <w:t>i</w:t>
      </w:r>
      <w:r>
        <w:rPr>
          <w:color w:val="auto"/>
        </w:rPr>
        <w:t xml:space="preserve">mentellen Chemie. </w:t>
      </w:r>
      <w:proofErr w:type="spellStart"/>
      <w:r>
        <w:rPr>
          <w:color w:val="auto"/>
        </w:rPr>
        <w:t>Sekundarbereich</w:t>
      </w:r>
      <w:proofErr w:type="spellEnd"/>
      <w:r>
        <w:rPr>
          <w:color w:val="auto"/>
        </w:rPr>
        <w:t xml:space="preserve"> II. Band 1. Wasserstoff, Stickstoff und Sauerstoffgruppe.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 xml:space="preserve"> Verlag </w:t>
      </w:r>
      <w:proofErr w:type="spellStart"/>
      <w:r>
        <w:rPr>
          <w:color w:val="auto"/>
        </w:rPr>
        <w:t>Deubner</w:t>
      </w:r>
      <w:proofErr w:type="spellEnd"/>
      <w:r>
        <w:rPr>
          <w:color w:val="auto"/>
        </w:rPr>
        <w:t>. Köln (2002).</w:t>
      </w:r>
    </w:p>
    <w:p w:rsidR="00C55185" w:rsidRPr="0052115F" w:rsidRDefault="00C55185" w:rsidP="00C55185">
      <w:pPr>
        <w:rPr>
          <w:rFonts w:asciiTheme="majorHAnsi" w:hAnsiTheme="majorHAnsi"/>
          <w:color w:val="auto"/>
        </w:rPr>
      </w:pPr>
    </w:p>
    <w:p w:rsidR="00C55185" w:rsidRPr="0052115F" w:rsidRDefault="00C55185" w:rsidP="00C55185">
      <w:pPr>
        <w:tabs>
          <w:tab w:val="left" w:pos="1701"/>
          <w:tab w:val="left" w:pos="1985"/>
        </w:tabs>
        <w:rPr>
          <w:color w:val="auto"/>
        </w:rPr>
      </w:pPr>
      <w:r w:rsidRPr="00DD1ECA">
        <w:rPr>
          <w:noProof/>
          <w:color w:val="auto"/>
          <w:lang w:val="en-US"/>
        </w:rPr>
      </w:r>
      <w:r w:rsidRPr="00DD1ECA">
        <w:rPr>
          <w:noProof/>
          <w:color w:val="auto"/>
          <w:lang w:val="en-US"/>
        </w:rPr>
        <w:pict>
          <v:shape id="Text Box 154" o:spid="_x0000_s1026" type="#_x0000_t202" style="width:462.45pt;height:157.2pt;visibility:visible;mso-position-horizontal-relative:char;mso-position-vertical-relative:line" fillcolor="white [3201]" strokecolor="#c0504d [3205]" strokeweight="1pt">
            <v:stroke dashstyle="dash"/>
            <v:shadow color="#868686"/>
            <v:textbox>
              <w:txbxContent>
                <w:p w:rsidR="00C55185" w:rsidRDefault="00C55185" w:rsidP="00C55185">
                  <w:r>
                    <w:rPr>
                      <w:color w:val="auto"/>
                    </w:rPr>
                    <w:t xml:space="preserve">Der Material und Zeitaufwand für diesen Versuch ist gering. Außerdem bietet er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die Möglichkeit ein historisches Verfahren zur Darstellung von Schwefelsäure („</w:t>
                  </w:r>
                  <w:proofErr w:type="spellStart"/>
                  <w:r>
                    <w:rPr>
                      <w:color w:val="auto"/>
                    </w:rPr>
                    <w:t>Vitriolbrennen</w:t>
                  </w:r>
                  <w:proofErr w:type="spellEnd"/>
                  <w:r>
                    <w:rPr>
                      <w:color w:val="auto"/>
                    </w:rPr>
                    <w:t xml:space="preserve">“-Thermolyse von Eisensulfat) kennen zu lernen und selbst experimentell zu erproben. Die Nachweisreaktionen für Schwefelsäure über Indikatorpapier und Fällung des </w:t>
                  </w:r>
                  <w:proofErr w:type="spellStart"/>
                  <w:r>
                    <w:rPr>
                      <w:color w:val="auto"/>
                    </w:rPr>
                    <w:t>Sulfations</w:t>
                  </w:r>
                  <w:proofErr w:type="spellEnd"/>
                  <w:r>
                    <w:rPr>
                      <w:color w:val="auto"/>
                    </w:rPr>
                    <w:t xml:space="preserve"> mit </w:t>
                  </w:r>
                  <w:proofErr w:type="spellStart"/>
                  <w:r>
                    <w:rPr>
                      <w:color w:val="auto"/>
                    </w:rPr>
                    <w:t>Bariumchlorid</w:t>
                  </w:r>
                  <w:proofErr w:type="spellEnd"/>
                  <w:r>
                    <w:rPr>
                      <w:color w:val="auto"/>
                    </w:rPr>
                    <w:t xml:space="preserve">, sind leicht durchzuführen und nachzuvollziehen. Allerdings hat es einige Zeit gedauert, bis sich die </w:t>
                  </w:r>
                  <w:proofErr w:type="spellStart"/>
                  <w:r>
                    <w:rPr>
                      <w:color w:val="auto"/>
                    </w:rPr>
                    <w:t>Bariumchlorid</w:t>
                  </w:r>
                  <w:proofErr w:type="spellEnd"/>
                  <w:r>
                    <w:rPr>
                      <w:color w:val="auto"/>
                    </w:rPr>
                    <w:t>-Lösung getrübt hat, der Nachweis über das Indikatorp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 xml:space="preserve">pier ging deutlich schneller. Allerdings kann dieser Nachweis nicht als spezifischer Nachweis für Schwefelsäure gesehen werden, da jede andere Säure das Papier ebenfalls rot gefärbt hätte. </w:t>
                  </w:r>
                </w:p>
              </w:txbxContent>
            </v:textbox>
            <w10:wrap type="none"/>
            <w10:anchorlock/>
          </v:shape>
        </w:pict>
      </w:r>
    </w:p>
    <w:p w:rsidR="00D54C31" w:rsidRDefault="00436B06"/>
    <w:p w:rsidR="00D35753" w:rsidRDefault="00D35753"/>
    <w:sectPr w:rsidR="00D35753" w:rsidSect="00CA5D71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EndPr/>
    <w:sdtContent>
      <w:p w:rsidR="003A2FE6" w:rsidRPr="0080101C" w:rsidRDefault="00436B06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D35753" w:rsidRPr="00D35753">
            <w:rPr>
              <w:b/>
              <w:bCs/>
              <w:noProof/>
              <w:sz w:val="20"/>
            </w:rPr>
            <w:t>0</w:t>
          </w:r>
        </w:fldSimple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D35753">
            <w:rPr>
              <w:noProof/>
            </w:rPr>
            <w:t>„Thermolyse von Eisensulfat“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3A2FE6" w:rsidRPr="00337B69" w:rsidRDefault="00436B06" w:rsidP="00337B69">
    <w:pPr>
      <w:pStyle w:val="Kopfzeile"/>
      <w:rPr>
        <w:rFonts w:asciiTheme="majorHAnsi" w:hAnsiTheme="majorHAnsi"/>
        <w:sz w:val="20"/>
        <w:szCs w:val="20"/>
      </w:rPr>
    </w:pPr>
    <w:r w:rsidRPr="00DD1ECA">
      <w:rPr>
        <w:rFonts w:asciiTheme="majorHAnsi" w:hAnsiTheme="majorHAnsi"/>
        <w:noProof/>
        <w:sz w:val="20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3.35pt;margin-top:3.05pt;width:462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7"/>
      </o:rules>
    </o:shapelayout>
  </w:hdrShapeDefaults>
  <w:compat/>
  <w:rsids>
    <w:rsidRoot w:val="00C55185"/>
    <w:rsid w:val="003F61E8"/>
    <w:rsid w:val="00436B06"/>
    <w:rsid w:val="006838B0"/>
    <w:rsid w:val="00721BB3"/>
    <w:rsid w:val="00741064"/>
    <w:rsid w:val="00C55185"/>
    <w:rsid w:val="00CA5D71"/>
    <w:rsid w:val="00D3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518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518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518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518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518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518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518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518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518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518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518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518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518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5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51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51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5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51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51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55185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5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5185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18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1669</Characters>
  <Application>Microsoft Office Word</Application>
  <DocSecurity>0</DocSecurity>
  <Lines>13</Lines>
  <Paragraphs>3</Paragraphs>
  <ScaleCrop>false</ScaleCrop>
  <Company>Frost-RL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2</cp:revision>
  <cp:lastPrinted>2015-08-21T14:16:00Z</cp:lastPrinted>
  <dcterms:created xsi:type="dcterms:W3CDTF">2015-08-21T14:15:00Z</dcterms:created>
  <dcterms:modified xsi:type="dcterms:W3CDTF">2015-08-21T14:17:00Z</dcterms:modified>
</cp:coreProperties>
</file>