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D8" w:rsidRPr="0018173B" w:rsidRDefault="00007FD8" w:rsidP="00007FD8">
      <w:pPr>
        <w:pStyle w:val="berschrift2"/>
        <w:numPr>
          <w:ilvl w:val="0"/>
          <w:numId w:val="0"/>
        </w:numPr>
        <w:ind w:left="576" w:hanging="576"/>
      </w:pPr>
      <w:r w:rsidRPr="0018173B">
        <w:t xml:space="preserve"> „</w:t>
      </w:r>
      <w:r>
        <w:t>Hygroskopische Wirkung von Schwefelsäure</w:t>
      </w:r>
      <w:r w:rsidRPr="0018173B">
        <w:t>”</w:t>
      </w:r>
    </w:p>
    <w:p w:rsidR="00007FD8" w:rsidRPr="0018173B" w:rsidRDefault="00007FD8" w:rsidP="00007FD8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07FD8" w:rsidRPr="009C5E28" w:rsidTr="00C262BF">
        <w:tc>
          <w:tcPr>
            <w:tcW w:w="9322" w:type="dxa"/>
            <w:gridSpan w:val="9"/>
            <w:shd w:val="clear" w:color="auto" w:fill="4F81BD"/>
            <w:vAlign w:val="center"/>
          </w:tcPr>
          <w:p w:rsidR="00007FD8" w:rsidRPr="00F31EBF" w:rsidRDefault="00007FD8" w:rsidP="00C262BF">
            <w:pPr>
              <w:spacing w:after="0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07FD8" w:rsidRPr="009C5E28" w:rsidTr="00C262B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596AE4">
              <w:t>konz</w:t>
            </w:r>
            <w:proofErr w:type="spellEnd"/>
            <w:r w:rsidRPr="00596AE4">
              <w:t>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</w:pPr>
            <w:r w:rsidRPr="009C5E28">
              <w:rPr>
                <w:color w:val="auto"/>
                <w:sz w:val="20"/>
                <w:szCs w:val="20"/>
              </w:rPr>
              <w:t xml:space="preserve">H: </w:t>
            </w:r>
            <w:r>
              <w:t>290-314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FD8" w:rsidRDefault="00007FD8" w:rsidP="00C262BF">
            <w:pPr>
              <w:spacing w:after="0"/>
              <w:rPr>
                <w:color w:val="auto"/>
                <w:sz w:val="20"/>
                <w:szCs w:val="20"/>
              </w:rPr>
            </w:pPr>
          </w:p>
          <w:p w:rsidR="00007FD8" w:rsidRPr="009C5E28" w:rsidRDefault="00007FD8" w:rsidP="00C262BF">
            <w:pPr>
              <w:spacing w:after="0"/>
            </w:pPr>
            <w:r w:rsidRPr="009C5E28">
              <w:rPr>
                <w:color w:val="auto"/>
                <w:sz w:val="20"/>
                <w:szCs w:val="20"/>
              </w:rPr>
              <w:t>P:</w:t>
            </w:r>
            <w:r>
              <w:t>280-301+330+331-305+351++338-309+310</w:t>
            </w:r>
          </w:p>
        </w:tc>
      </w:tr>
      <w:tr w:rsidR="00007FD8" w:rsidRPr="009C5E28" w:rsidTr="00C262B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FD8" w:rsidRPr="009C5E28" w:rsidRDefault="00007FD8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FD8" w:rsidRDefault="00007FD8" w:rsidP="00007FD8">
      <w:pPr>
        <w:tabs>
          <w:tab w:val="left" w:pos="1701"/>
          <w:tab w:val="left" w:pos="1985"/>
        </w:tabs>
        <w:ind w:left="1980" w:hanging="1980"/>
      </w:pPr>
    </w:p>
    <w:p w:rsidR="00007FD8" w:rsidRDefault="00007FD8" w:rsidP="00007FD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Pasteur Pipette</w:t>
      </w:r>
    </w:p>
    <w:p w:rsidR="00007FD8" w:rsidRPr="00ED07C2" w:rsidRDefault="00007FD8" w:rsidP="00007FD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Wasser, Würfelzucker, </w:t>
      </w:r>
      <w:proofErr w:type="spellStart"/>
      <w:r>
        <w:t>konz</w:t>
      </w:r>
      <w:proofErr w:type="spellEnd"/>
      <w:r>
        <w:t>. Schwefelsäure</w:t>
      </w:r>
    </w:p>
    <w:p w:rsidR="00007FD8" w:rsidRDefault="00007FD8" w:rsidP="00007FD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Sechs Stücken Würfelzucker werden in einem Becherglas übereinander gestapelt. Wenige Milliliter Wasser werden auf den Zucker gegeben, im A</w:t>
      </w:r>
      <w:r>
        <w:t>n</w:t>
      </w:r>
      <w:r>
        <w:t xml:space="preserve">schluss etwa 10 </w:t>
      </w:r>
      <w:proofErr w:type="spellStart"/>
      <w:r>
        <w:t>mL</w:t>
      </w:r>
      <w:proofErr w:type="spellEnd"/>
      <w:r>
        <w:t xml:space="preserve"> konzentrierte Schwefelsäure.</w:t>
      </w:r>
    </w:p>
    <w:p w:rsidR="00007FD8" w:rsidRDefault="00007FD8" w:rsidP="00007FD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849630</wp:posOffset>
            </wp:positionV>
            <wp:extent cx="1152525" cy="1466850"/>
            <wp:effectExtent l="19050" t="0" r="9525" b="0"/>
            <wp:wrapTight wrapText="bothSides">
              <wp:wrapPolygon edited="0">
                <wp:start x="-357" y="0"/>
                <wp:lineTo x="-357" y="21319"/>
                <wp:lineTo x="21779" y="21319"/>
                <wp:lineTo x="21779" y="0"/>
                <wp:lineTo x="-357" y="0"/>
              </wp:wrapPolygon>
            </wp:wrapTight>
            <wp:docPr id="2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849630</wp:posOffset>
            </wp:positionV>
            <wp:extent cx="1133475" cy="1476375"/>
            <wp:effectExtent l="19050" t="0" r="9525" b="0"/>
            <wp:wrapTight wrapText="bothSides">
              <wp:wrapPolygon edited="0">
                <wp:start x="-363" y="0"/>
                <wp:lineTo x="-363" y="21461"/>
                <wp:lineTo x="21782" y="21461"/>
                <wp:lineTo x="21782" y="0"/>
                <wp:lineTo x="-363" y="0"/>
              </wp:wrapPolygon>
            </wp:wrapTight>
            <wp:docPr id="1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  <w:t>Nach Zugabe der Schwefelsäure verfärbt sich der Zucker zunächst braun. Etwa 10 Sekunden geschieht nichts, bevor eine starke Reaktion einsetzt, in der der Zucker komplett schwarz wird.</w:t>
      </w:r>
    </w:p>
    <w:p w:rsidR="00007FD8" w:rsidRDefault="00007FD8" w:rsidP="00007FD8">
      <w:pPr>
        <w:keepNext/>
        <w:tabs>
          <w:tab w:val="left" w:pos="1701"/>
          <w:tab w:val="left" w:pos="1985"/>
        </w:tabs>
        <w:ind w:left="1980" w:hanging="1980"/>
      </w:pPr>
    </w:p>
    <w:p w:rsidR="00007FD8" w:rsidRDefault="00007FD8" w:rsidP="00007FD8">
      <w:pPr>
        <w:keepNext/>
        <w:tabs>
          <w:tab w:val="left" w:pos="1701"/>
          <w:tab w:val="left" w:pos="1985"/>
        </w:tabs>
        <w:ind w:left="1980" w:hanging="1980"/>
      </w:pPr>
    </w:p>
    <w:p w:rsidR="00007FD8" w:rsidRDefault="00007FD8" w:rsidP="00007FD8">
      <w:pPr>
        <w:keepNext/>
        <w:tabs>
          <w:tab w:val="left" w:pos="1701"/>
          <w:tab w:val="left" w:pos="1985"/>
        </w:tabs>
        <w:ind w:left="1980" w:hanging="1980"/>
      </w:pPr>
    </w:p>
    <w:p w:rsidR="00007FD8" w:rsidRDefault="00007FD8" w:rsidP="00007FD8">
      <w:pPr>
        <w:keepNext/>
        <w:tabs>
          <w:tab w:val="left" w:pos="1701"/>
          <w:tab w:val="left" w:pos="1985"/>
        </w:tabs>
        <w:ind w:left="1980" w:hanging="1980"/>
      </w:pPr>
    </w:p>
    <w:p w:rsidR="00007FD8" w:rsidRDefault="00007FD8" w:rsidP="00007FD8">
      <w:pPr>
        <w:pStyle w:val="Beschriftung"/>
        <w:ind w:left="1980"/>
        <w:jc w:val="left"/>
      </w:pPr>
      <w:r>
        <w:t xml:space="preserve">Abb. 2 - </w:t>
      </w:r>
      <w:r>
        <w:rPr>
          <w:noProof/>
        </w:rPr>
        <w:t xml:space="preserve"> Zuckerwürfel (links: ohne Schwefelsäure, rechts: 2 Minuten nach Zugabe der Schwefelsäure)</w:t>
      </w:r>
    </w:p>
    <w:p w:rsidR="00007FD8" w:rsidRDefault="00007FD8" w:rsidP="00007FD8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Der Versuch zeigt die hygroskopische Wirkung der Schwefelsäure. Die Säure entzieht dem Zucker das Wasser, er wird zu Kohlenstoff reduziert. Würfelzucker ist Saccharose:</w:t>
      </w:r>
    </w:p>
    <w:p w:rsidR="00007FD8" w:rsidRPr="00007FD8" w:rsidRDefault="00007FD8" w:rsidP="00007FD8">
      <w:pPr>
        <w:rPr>
          <w:rFonts w:asciiTheme="majorHAnsi" w:hAnsiTheme="majorHAnsi"/>
          <w:vertAlign w:val="subscript"/>
        </w:rPr>
      </w:pPr>
      <w:r>
        <w:tab/>
      </w:r>
      <w:r>
        <w:tab/>
      </w:r>
      <w:r>
        <w:tab/>
      </w:r>
      <m:oMath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C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12</m:t>
            </m:r>
          </m:sub>
        </m:sSub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22</m:t>
            </m:r>
          </m:sub>
        </m:sSub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hAnsiTheme="maj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11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(s)</m:t>
                </m:r>
              </m:sub>
            </m:sSub>
          </m:sub>
        </m:sSub>
        <m:r>
          <m:rPr>
            <m:sty m:val="p"/>
          </m:rPr>
          <w:rPr>
            <w:rFonts w:asciiTheme="majorHAnsi" w:hAnsiTheme="majorHAnsi"/>
          </w:rPr>
          <m:t>+</m:t>
        </m:r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2</m:t>
            </m:r>
          </m:sub>
        </m:sSub>
        <m:r>
          <m:rPr>
            <m:sty m:val="p"/>
          </m:rPr>
          <w:rPr>
            <w:rFonts w:asciiTheme="majorHAnsi" w:hAnsiTheme="majorHAnsi"/>
          </w:rPr>
          <m:t>S</m:t>
        </m:r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4</m:t>
                </m:r>
              </m:sub>
            </m:sSub>
          </m:e>
          <m:sub>
            <m:r>
              <m:rPr>
                <m:sty m:val="p"/>
              </m:rPr>
              <w:rPr>
                <w:rFonts w:asciiTheme="majorHAnsi" w:hAnsiTheme="majorHAnsi"/>
              </w:rPr>
              <m:t>(l)</m:t>
            </m:r>
          </m:sub>
        </m:sSub>
        <m:r>
          <m:rPr>
            <m:sty m:val="p"/>
          </m:rPr>
          <w:rPr>
            <w:rFonts w:asciiTheme="majorHAnsi" w:hAnsiTheme="majorHAnsi"/>
          </w:rPr>
          <m:t xml:space="preserve">→12 </m:t>
        </m:r>
        <m:sSub>
          <m:sSubPr>
            <m:ctrlPr>
              <w:rPr>
                <w:rFonts w:asciiTheme="majorHAnsi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C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(s)</m:t>
            </m:r>
          </m:sub>
        </m:sSub>
        <m:r>
          <m:rPr>
            <m:sty m:val="p"/>
          </m:rPr>
          <w:rPr>
            <w:rFonts w:asciiTheme="majorHAnsi" w:hAnsiTheme="majorHAnsi"/>
          </w:rPr>
          <m:t xml:space="preserve">+2 </m:t>
        </m:r>
        <m:sSubSup>
          <m:sSubSupPr>
            <m:ctrlPr>
              <w:rPr>
                <w:rFonts w:asciiTheme="majorHAnsi" w:hAnsiTheme="majorHAnsi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Theme="majorHAnsi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(aq)</m:t>
            </m:r>
          </m:sub>
          <m:sup>
            <m:r>
              <m:rPr>
                <m:sty m:val="p"/>
              </m:rPr>
              <w:rPr>
                <w:rFonts w:asciiTheme="majorHAnsi" w:hAnsiTheme="majorHAnsi"/>
              </w:rPr>
              <m:t>+</m:t>
            </m:r>
          </m:sup>
        </m:sSubSup>
        <m:r>
          <m:rPr>
            <m:sty m:val="p"/>
          </m:rPr>
          <w:rPr>
            <w:rFonts w:asciiTheme="majorHAnsi" w:hAnsiTheme="majorHAnsi"/>
          </w:rPr>
          <m:t>+S</m:t>
        </m:r>
        <m:sSubSup>
          <m:sSubSupPr>
            <m:ctrlPr>
              <w:rPr>
                <w:rFonts w:asciiTheme="majorHAnsi" w:hAnsiTheme="majorHAnsi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Theme="majorHAnsi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hAnsiTheme="maj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(aq)</m:t>
                </m:r>
              </m:sub>
            </m:sSub>
          </m:sub>
          <m:sup>
            <m:r>
              <m:rPr>
                <m:sty m:val="p"/>
              </m:rPr>
              <w:rPr>
                <w:rFonts w:asciiTheme="majorHAnsi" w:hAnsiTheme="majorHAnsi"/>
              </w:rPr>
              <m:t>2-</m:t>
            </m:r>
          </m:sup>
        </m:sSubSup>
      </m:oMath>
      <w:r w:rsidRPr="00007FD8">
        <w:rPr>
          <w:rFonts w:asciiTheme="majorHAnsi" w:eastAsiaTheme="minorEastAsia" w:hAnsiTheme="majorHAnsi"/>
        </w:rPr>
        <w:t>+ 11 H</w:t>
      </w:r>
      <w:r w:rsidRPr="00007FD8">
        <w:rPr>
          <w:rFonts w:asciiTheme="majorHAnsi" w:eastAsiaTheme="minorEastAsia" w:hAnsiTheme="majorHAnsi"/>
          <w:vertAlign w:val="subscript"/>
        </w:rPr>
        <w:t>2</w:t>
      </w:r>
      <w:r w:rsidRPr="00007FD8">
        <w:rPr>
          <w:rFonts w:asciiTheme="majorHAnsi" w:eastAsiaTheme="minorEastAsia" w:hAnsiTheme="majorHAnsi"/>
        </w:rPr>
        <w:t>O</w:t>
      </w:r>
      <w:r w:rsidRPr="00007FD8">
        <w:rPr>
          <w:rFonts w:asciiTheme="majorHAnsi" w:eastAsiaTheme="minorEastAsia" w:hAnsiTheme="majorHAnsi"/>
          <w:vertAlign w:val="subscript"/>
        </w:rPr>
        <w:t>(l)</w:t>
      </w:r>
    </w:p>
    <w:p w:rsidR="00007FD8" w:rsidRPr="0099441B" w:rsidRDefault="00007FD8" w:rsidP="00007FD8">
      <w:pPr>
        <w:tabs>
          <w:tab w:val="left" w:pos="1701"/>
          <w:tab w:val="left" w:pos="1985"/>
        </w:tabs>
        <w:ind w:left="2145" w:hanging="2145"/>
        <w:rPr>
          <w:rFonts w:eastAsiaTheme="minorEastAsia"/>
        </w:rPr>
      </w:pPr>
      <w:r>
        <w:t>Entsorgung:</w:t>
      </w:r>
      <w:r>
        <w:tab/>
        <w:t xml:space="preserve">          Der Zucker wird gelöst und neutralisiert. Anschließend im Abfluss </w:t>
      </w:r>
      <w:proofErr w:type="spellStart"/>
      <w:r>
        <w:t>ent</w:t>
      </w:r>
      <w:proofErr w:type="spellEnd"/>
      <w:r>
        <w:t xml:space="preserve">-   sorgt. </w:t>
      </w:r>
    </w:p>
    <w:p w:rsidR="00007FD8" w:rsidRDefault="00007FD8" w:rsidP="00007FD8">
      <w:pPr>
        <w:spacing w:after="0"/>
        <w:ind w:left="2124" w:hanging="2124"/>
        <w:rPr>
          <w:color w:val="auto"/>
        </w:rPr>
      </w:pPr>
      <w:r>
        <w:lastRenderedPageBreak/>
        <w:t>Literatur:</w:t>
      </w:r>
      <w:r>
        <w:tab/>
      </w:r>
      <w:proofErr w:type="spellStart"/>
      <w:r>
        <w:t>Wiechczek</w:t>
      </w:r>
      <w:proofErr w:type="spellEnd"/>
      <w:r>
        <w:t xml:space="preserve">, D.  Zersetzung von Saccharose durch Schwefelsäure in         </w:t>
      </w:r>
      <w:r w:rsidRPr="001909A8">
        <w:rPr>
          <w:color w:val="auto"/>
        </w:rPr>
        <w:t>http://www.chemieunterricht.de/dc2/schwefel/s-v09.htm</w:t>
      </w:r>
      <w:r>
        <w:rPr>
          <w:color w:val="auto"/>
        </w:rPr>
        <w:t xml:space="preserve"> </w:t>
      </w:r>
    </w:p>
    <w:p w:rsidR="00007FD8" w:rsidRPr="001909A8" w:rsidRDefault="00007FD8" w:rsidP="00007FD8">
      <w:pPr>
        <w:ind w:left="2124"/>
        <w:rPr>
          <w:color w:val="auto"/>
        </w:rPr>
      </w:pPr>
      <w:r>
        <w:rPr>
          <w:color w:val="auto"/>
        </w:rPr>
        <w:t>(Zugriff: 09.08.15)</w:t>
      </w:r>
    </w:p>
    <w:p w:rsidR="00D54C31" w:rsidRDefault="00007FD8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FD8"/>
    <w:rsid w:val="00007FD8"/>
    <w:rsid w:val="003F61E8"/>
    <w:rsid w:val="006568D0"/>
    <w:rsid w:val="006838B0"/>
    <w:rsid w:val="00741064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FD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FD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FD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7FD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7FD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7F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7F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7F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7F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7F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7FD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FD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7FD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7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7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7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7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7F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7F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FD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FD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1122</Characters>
  <Application>Microsoft Office Word</Application>
  <DocSecurity>0</DocSecurity>
  <Lines>9</Lines>
  <Paragraphs>2</Paragraphs>
  <ScaleCrop>false</ScaleCrop>
  <Company>Frost-RL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2015-08-21T14:20:00Z</dcterms:created>
  <dcterms:modified xsi:type="dcterms:W3CDTF">2015-08-21T14:21:00Z</dcterms:modified>
</cp:coreProperties>
</file>