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AC" w:rsidRPr="00FB3E20" w:rsidRDefault="00143FAC" w:rsidP="00143FAC">
      <w:pPr>
        <w:pStyle w:val="berschrift2"/>
        <w:numPr>
          <w:ilvl w:val="0"/>
          <w:numId w:val="0"/>
        </w:numPr>
      </w:pPr>
      <w:r w:rsidRPr="0018173B">
        <w:t xml:space="preserve"> „</w:t>
      </w:r>
      <w:r>
        <w:t>Schwefel in Nanoqualität</w:t>
      </w:r>
      <w:r w:rsidRPr="0018173B">
        <w:t>”</w:t>
      </w:r>
    </w:p>
    <w:p w:rsidR="00143FAC" w:rsidRPr="0018173B" w:rsidRDefault="00143FAC" w:rsidP="00143FAC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43FAC" w:rsidRPr="009C5E28" w:rsidTr="00C262BF">
        <w:tc>
          <w:tcPr>
            <w:tcW w:w="9322" w:type="dxa"/>
            <w:gridSpan w:val="9"/>
            <w:shd w:val="clear" w:color="auto" w:fill="4F81BD"/>
            <w:vAlign w:val="center"/>
          </w:tcPr>
          <w:p w:rsidR="00143FAC" w:rsidRPr="00F31EBF" w:rsidRDefault="00143FAC" w:rsidP="00C262B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43FAC" w:rsidRPr="009C5E28" w:rsidTr="00C262B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1D7F99" w:rsidRDefault="00143FAC" w:rsidP="00C262BF">
            <w:pPr>
              <w:spacing w:after="0" w:line="276" w:lineRule="auto"/>
              <w:jc w:val="center"/>
              <w:rPr>
                <w:b/>
                <w:bCs/>
                <w:sz w:val="20"/>
              </w:rPr>
            </w:pPr>
            <w:proofErr w:type="spellStart"/>
            <w:r w:rsidRPr="001D7F99">
              <w:rPr>
                <w:sz w:val="20"/>
              </w:rPr>
              <w:t>Natriumthiosulfat-Pentahydrat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1D7F99" w:rsidRDefault="00143FAC" w:rsidP="00C262BF">
            <w:pPr>
              <w:spacing w:after="0"/>
              <w:jc w:val="center"/>
              <w:rPr>
                <w:sz w:val="20"/>
              </w:rPr>
            </w:pPr>
            <w:r w:rsidRPr="001D7F99"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43FAC" w:rsidRPr="001D7F99" w:rsidRDefault="00143FAC" w:rsidP="00C262BF">
            <w:pPr>
              <w:spacing w:after="0"/>
              <w:jc w:val="center"/>
              <w:rPr>
                <w:sz w:val="20"/>
              </w:rPr>
            </w:pPr>
            <w:r w:rsidRPr="001D7F99">
              <w:rPr>
                <w:sz w:val="20"/>
              </w:rPr>
              <w:t>-</w:t>
            </w:r>
          </w:p>
        </w:tc>
      </w:tr>
      <w:tr w:rsidR="00143FAC" w:rsidRPr="009C5E28" w:rsidTr="00C262B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1D7F99" w:rsidRDefault="00143FAC" w:rsidP="00C262BF">
            <w:pPr>
              <w:spacing w:after="0" w:line="276" w:lineRule="auto"/>
              <w:jc w:val="center"/>
              <w:rPr>
                <w:sz w:val="20"/>
              </w:rPr>
            </w:pPr>
            <w:r w:rsidRPr="001D7F99">
              <w:rPr>
                <w:sz w:val="20"/>
              </w:rPr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1D7F99" w:rsidRDefault="00143FAC" w:rsidP="00C262BF">
            <w:pPr>
              <w:spacing w:after="0"/>
              <w:jc w:val="center"/>
              <w:rPr>
                <w:sz w:val="20"/>
              </w:rPr>
            </w:pPr>
            <w:r w:rsidRPr="001D7F99">
              <w:rPr>
                <w:color w:val="auto"/>
                <w:sz w:val="20"/>
                <w:szCs w:val="20"/>
              </w:rPr>
              <w:t>H:314-335-290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43FAC" w:rsidRPr="001D7F99" w:rsidRDefault="00143FAC" w:rsidP="00C262BF">
            <w:pPr>
              <w:spacing w:after="0"/>
              <w:jc w:val="center"/>
              <w:rPr>
                <w:sz w:val="20"/>
              </w:rPr>
            </w:pPr>
            <w:r w:rsidRPr="001D7F99">
              <w:rPr>
                <w:color w:val="auto"/>
                <w:sz w:val="20"/>
                <w:szCs w:val="20"/>
              </w:rPr>
              <w:t>P:234-260-305+351+338-303+361+353-304+340-309+311-501</w:t>
            </w:r>
          </w:p>
        </w:tc>
      </w:tr>
      <w:tr w:rsidR="00143FAC" w:rsidRPr="009C5E28" w:rsidTr="00C262B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9C5E28" w:rsidRDefault="00143FAC" w:rsidP="00C262B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9C5E28" w:rsidRDefault="00143FA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9C5E28" w:rsidRDefault="00143FA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9C5E28" w:rsidRDefault="00143FA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9C5E28" w:rsidRDefault="00143FA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9C5E28" w:rsidRDefault="00143FA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9C5E28" w:rsidRDefault="00143FA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3FAC" w:rsidRPr="009C5E28" w:rsidRDefault="00143FA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4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43FAC" w:rsidRPr="009C5E28" w:rsidRDefault="00143FAC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FAC" w:rsidRDefault="00143FAC" w:rsidP="00143FAC">
      <w:pPr>
        <w:tabs>
          <w:tab w:val="left" w:pos="1701"/>
          <w:tab w:val="left" w:pos="1985"/>
        </w:tabs>
        <w:ind w:left="1980" w:hanging="1980"/>
      </w:pPr>
    </w:p>
    <w:p w:rsidR="00143FAC" w:rsidRDefault="00143FAC" w:rsidP="00143FA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Becherglas (50 </w:t>
      </w:r>
      <w:proofErr w:type="spellStart"/>
      <w:r>
        <w:t>mL</w:t>
      </w:r>
      <w:proofErr w:type="spellEnd"/>
      <w:r>
        <w:t xml:space="preserve">), </w:t>
      </w:r>
      <w:proofErr w:type="spellStart"/>
      <w:r>
        <w:t>Rührstab</w:t>
      </w:r>
      <w:proofErr w:type="spellEnd"/>
      <w:r>
        <w:t>, Pasteur-Pipette</w:t>
      </w:r>
    </w:p>
    <w:p w:rsidR="00143FAC" w:rsidRPr="00ED07C2" w:rsidRDefault="00143FAC" w:rsidP="00143FA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Natriumthiosulfat-Pentahydrat</w:t>
      </w:r>
      <w:proofErr w:type="spellEnd"/>
      <w:r>
        <w:t>, verdünnte Salzsäure</w:t>
      </w:r>
    </w:p>
    <w:p w:rsidR="00143FAC" w:rsidRDefault="00143FAC" w:rsidP="00143FAC">
      <w:pPr>
        <w:tabs>
          <w:tab w:val="left" w:pos="1701"/>
          <w:tab w:val="left" w:pos="1985"/>
        </w:tabs>
        <w:ind w:left="1980" w:hanging="1980"/>
      </w:pPr>
      <w:r>
        <w:t xml:space="preserve">Durchführung:  </w:t>
      </w:r>
      <w:r>
        <w:tab/>
      </w:r>
      <w:r>
        <w:tab/>
      </w:r>
      <w:r>
        <w:tab/>
        <w:t xml:space="preserve">Das Becherglas wird zur Hälfte mit Wasser gefüllt, eine </w:t>
      </w:r>
      <w:proofErr w:type="spellStart"/>
      <w:r>
        <w:t>Spatelportion</w:t>
      </w:r>
      <w:proofErr w:type="spellEnd"/>
      <w:r>
        <w:t xml:space="preserve"> </w:t>
      </w:r>
      <w:proofErr w:type="spellStart"/>
      <w:r>
        <w:t>Natriumthiosulfat-Pentahydrat</w:t>
      </w:r>
      <w:proofErr w:type="spellEnd"/>
      <w:r>
        <w:t xml:space="preserve"> wird hinzugegeben, gelöst und umgerührt. Nun wird mit der Pasteur-Pipette verdünnte Salzsäure in die Lösung g</w:t>
      </w:r>
      <w:r>
        <w:t>e</w:t>
      </w:r>
      <w:r>
        <w:t>tropft.</w:t>
      </w:r>
    </w:p>
    <w:p w:rsidR="00143FAC" w:rsidRDefault="00143FAC" w:rsidP="00143FAC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370840</wp:posOffset>
            </wp:positionV>
            <wp:extent cx="1571625" cy="2171700"/>
            <wp:effectExtent l="19050" t="0" r="9525" b="0"/>
            <wp:wrapTight wrapText="bothSides">
              <wp:wrapPolygon edited="0">
                <wp:start x="-262" y="0"/>
                <wp:lineTo x="-262" y="21411"/>
                <wp:lineTo x="21731" y="21411"/>
                <wp:lineTo x="21731" y="0"/>
                <wp:lineTo x="-262" y="0"/>
              </wp:wrapPolygon>
            </wp:wrapTight>
            <wp:docPr id="50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  <w:t>Die Lösung trübt sich nach Zugabe der Salzsäure.</w:t>
      </w:r>
    </w:p>
    <w:p w:rsidR="00143FAC" w:rsidRDefault="00143FAC" w:rsidP="00143FAC">
      <w:pPr>
        <w:keepNext/>
        <w:tabs>
          <w:tab w:val="left" w:pos="1701"/>
          <w:tab w:val="left" w:pos="1985"/>
        </w:tabs>
        <w:ind w:left="1980" w:hanging="1980"/>
      </w:pPr>
    </w:p>
    <w:p w:rsidR="00143FAC" w:rsidRDefault="00143FAC" w:rsidP="00143FAC">
      <w:pPr>
        <w:pStyle w:val="Beschriftung"/>
        <w:jc w:val="left"/>
      </w:pPr>
    </w:p>
    <w:p w:rsidR="00143FAC" w:rsidRDefault="00143FAC" w:rsidP="00143FAC">
      <w:pPr>
        <w:pStyle w:val="Beschriftung"/>
        <w:jc w:val="left"/>
      </w:pPr>
    </w:p>
    <w:p w:rsidR="00143FAC" w:rsidRDefault="00143FAC" w:rsidP="00143FAC">
      <w:pPr>
        <w:pStyle w:val="Beschriftung"/>
        <w:jc w:val="left"/>
      </w:pPr>
    </w:p>
    <w:p w:rsidR="00143FAC" w:rsidRDefault="00143FAC" w:rsidP="00143FAC">
      <w:pPr>
        <w:pStyle w:val="Beschriftung"/>
        <w:jc w:val="left"/>
      </w:pPr>
    </w:p>
    <w:p w:rsidR="00143FAC" w:rsidRDefault="00143FAC" w:rsidP="00143FAC">
      <w:pPr>
        <w:pStyle w:val="Beschriftung"/>
        <w:jc w:val="left"/>
      </w:pPr>
    </w:p>
    <w:p w:rsidR="00143FAC" w:rsidRDefault="00143FAC" w:rsidP="00143FAC">
      <w:pPr>
        <w:pStyle w:val="Beschriftung"/>
        <w:jc w:val="left"/>
      </w:pPr>
    </w:p>
    <w:p w:rsidR="00143FAC" w:rsidRDefault="00143FAC" w:rsidP="00143FAC">
      <w:pPr>
        <w:pStyle w:val="Beschriftung"/>
        <w:jc w:val="left"/>
      </w:pPr>
    </w:p>
    <w:p w:rsidR="00143FAC" w:rsidRDefault="00143FAC" w:rsidP="00143FAC">
      <w:pPr>
        <w:pStyle w:val="Beschriftung"/>
        <w:ind w:left="1416"/>
        <w:jc w:val="left"/>
        <w:rPr>
          <w:noProof/>
        </w:rPr>
      </w:pPr>
      <w:r>
        <w:t xml:space="preserve">              Abb. 4 - </w:t>
      </w:r>
      <w:r>
        <w:rPr>
          <w:noProof/>
        </w:rPr>
        <w:t xml:space="preserve"> Schwefel in Nanoqualität.</w:t>
      </w:r>
    </w:p>
    <w:p w:rsidR="00143FAC" w:rsidRDefault="00143FAC" w:rsidP="00143FAC"/>
    <w:p w:rsidR="00143FAC" w:rsidRPr="003F0C28" w:rsidRDefault="00143FAC" w:rsidP="00143FAC">
      <w:pPr>
        <w:tabs>
          <w:tab w:val="left" w:pos="1701"/>
          <w:tab w:val="left" w:pos="1985"/>
        </w:tabs>
        <w:ind w:left="1985" w:hanging="2124"/>
        <w:rPr>
          <w:rFonts w:eastAsiaTheme="minorEastAsia"/>
          <w:color w:val="auto"/>
          <w:vertAlign w:val="subscript"/>
        </w:rPr>
      </w:pPr>
      <w:r>
        <w:t>Deutung:</w:t>
      </w:r>
      <w:r>
        <w:tab/>
      </w:r>
      <w:r>
        <w:tab/>
        <w:t xml:space="preserve">Das </w:t>
      </w:r>
      <w:proofErr w:type="spellStart"/>
      <w:r>
        <w:t>Natriumthiosulfat</w:t>
      </w:r>
      <w:proofErr w:type="spellEnd"/>
      <w:r>
        <w:t xml:space="preserve"> zerfällt bei Zugabe der Salzsäure. Dabei entsteht auch Schwefel, der fein verteilt, die trübe Färbung verursacht.</w:t>
      </w:r>
      <w:r>
        <w:rPr>
          <w:color w:val="auto"/>
          <w:vertAlign w:val="subscript"/>
        </w:rPr>
        <w:br/>
      </w:r>
      <m:oMathPara>
        <m:oMath>
          <m:sSub>
            <m:sSubPr>
              <m:ctrlPr>
                <w:rPr>
                  <w:rFonts w:ascii="Cambria Math" w:hAnsi="Cambria Math"/>
                  <w:color w:val="auto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vertAlign w:val="subscript"/>
                </w:rPr>
                <m:t>Na</m:t>
              </m:r>
            </m:e>
            <m:sub>
              <m:r>
                <m:rPr>
                  <m:sty m:val="p"/>
                </m:rPr>
                <w:rPr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vertAlign w:val="subscript"/>
                </w:rPr>
                <m:t>S</m:t>
              </m:r>
            </m:e>
            <m:sub>
              <m:r>
                <m:rPr>
                  <m:sty m:val="p"/>
                </m:rPr>
                <w:rPr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vertAlign w:val="subscript"/>
                </w:rPr>
                <m:t>O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  <w:vertAlign w:val="subscript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vertAlign w:val="subscript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vertAlign w:val="subscript"/>
                    </w:rPr>
                    <m:t>(aq)</m:t>
                  </m:r>
                </m:sub>
              </m:sSub>
            </m:sub>
          </m:sSub>
          <m:r>
            <m:rPr>
              <m:sty m:val="p"/>
            </m:rPr>
            <w:rPr>
              <w:vertAlign w:val="subscript"/>
            </w:rPr>
            <m:t>+ H</m:t>
          </m:r>
          <m:sSub>
            <m:sSubPr>
              <m:ctrlPr>
                <w:rPr>
                  <w:rFonts w:ascii="Cambria Math" w:hAnsi="Cambria Math"/>
                  <w:color w:val="auto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vertAlign w:val="subscript"/>
                </w:rPr>
                <m:t>Cl</m:t>
              </m:r>
            </m:e>
            <m:sub>
              <m:r>
                <m:rPr>
                  <m:sty m:val="p"/>
                </m:rPr>
                <w:rPr>
                  <w:vertAlign w:val="subscript"/>
                </w:rPr>
                <m:t>(aq)</m:t>
              </m:r>
            </m:sub>
          </m:sSub>
          <m:r>
            <m:rPr>
              <m:sty m:val="p"/>
            </m:rPr>
            <w:rPr>
              <w:vertAlign w:val="subscript"/>
            </w:rPr>
            <m:t>→2 Na</m:t>
          </m:r>
          <m:sSub>
            <m:sSubPr>
              <m:ctrlPr>
                <w:rPr>
                  <w:rFonts w:ascii="Cambria Math" w:hAnsi="Cambria Math"/>
                  <w:color w:val="auto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vertAlign w:val="subscript"/>
                </w:rPr>
                <m:t>Cl</m:t>
              </m:r>
            </m:e>
            <m:sub>
              <m:r>
                <m:rPr>
                  <m:sty m:val="p"/>
                </m:rPr>
                <w:rPr>
                  <w:vertAlign w:val="subscript"/>
                </w:rPr>
                <m:t>(aq)</m:t>
              </m:r>
            </m:sub>
          </m:sSub>
          <m:r>
            <m:rPr>
              <m:sty m:val="p"/>
            </m:rPr>
            <w:rPr>
              <w:vertAlign w:val="subscript"/>
            </w:rPr>
            <m:t>+</m:t>
          </m:r>
          <m:sSub>
            <m:sSubPr>
              <m:ctrlPr>
                <w:rPr>
                  <w:rFonts w:ascii="Cambria Math" w:hAnsi="Cambria Math"/>
                  <w:color w:val="auto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vertAlign w:val="subscript"/>
                </w:rPr>
                <m:t>H</m:t>
              </m:r>
            </m:e>
            <m:sub>
              <m:r>
                <m:rPr>
                  <m:sty m:val="p"/>
                </m:rPr>
                <w:rPr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vertAlign w:val="subscript"/>
                </w:rPr>
                <m:t>O</m:t>
              </m:r>
            </m:e>
            <m:sub>
              <m:r>
                <m:rPr>
                  <m:sty m:val="p"/>
                </m:rPr>
                <w:rPr>
                  <w:vertAlign w:val="subscript"/>
                </w:rPr>
                <m:t>(l)</m:t>
              </m:r>
            </m:sub>
          </m:sSub>
          <m:r>
            <m:rPr>
              <m:sty m:val="p"/>
            </m:rPr>
            <w:rPr>
              <w:vertAlign w:val="subscript"/>
            </w:rPr>
            <m:t>+S</m:t>
          </m:r>
          <m:sSub>
            <m:sSubPr>
              <m:ctrlPr>
                <w:rPr>
                  <w:rFonts w:ascii="Cambria Math" w:hAnsi="Cambria Math"/>
                  <w:color w:val="auto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vertAlign w:val="subscript"/>
                </w:rPr>
                <m:t>O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  <w:vertAlign w:val="subscript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vertAlign w:val="subscript"/>
                    </w:rPr>
                    <m:t>2</m:t>
                  </m:r>
                </m:e>
                <m:sub>
                  <m:r>
                    <m:rPr>
                      <m:sty m:val="p"/>
                    </m:rPr>
                    <w:rPr>
                      <w:vertAlign w:val="subscript"/>
                    </w:rPr>
                    <m:t>(g)</m:t>
                  </m:r>
                </m:sub>
              </m:sSub>
            </m:sub>
          </m:sSub>
          <m:r>
            <m:rPr>
              <m:sty m:val="p"/>
            </m:rPr>
            <w:rPr>
              <w:vertAlign w:val="subscript"/>
            </w:rPr>
            <m:t>+</m:t>
          </m:r>
          <m:sSub>
            <m:sSubPr>
              <m:ctrlPr>
                <w:rPr>
                  <w:rFonts w:ascii="Cambria Math" w:hAnsi="Cambria Math"/>
                  <w:color w:val="auto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vertAlign w:val="subscript"/>
                </w:rPr>
                <m:t>S</m:t>
              </m:r>
            </m:e>
            <m:sub>
              <m:r>
                <m:rPr>
                  <m:sty m:val="p"/>
                </m:rPr>
                <w:rPr>
                  <w:vertAlign w:val="subscript"/>
                </w:rPr>
                <m:t>(s)</m:t>
              </m:r>
            </m:sub>
          </m:sSub>
        </m:oMath>
      </m:oMathPara>
    </w:p>
    <w:p w:rsidR="00143FAC" w:rsidRDefault="00143FAC" w:rsidP="00143FAC">
      <w:pPr>
        <w:tabs>
          <w:tab w:val="left" w:pos="1701"/>
          <w:tab w:val="left" w:pos="1985"/>
        </w:tabs>
        <w:ind w:left="1985" w:hanging="2124"/>
      </w:pPr>
      <w:r w:rsidRPr="003F0C28">
        <w:rPr>
          <w:rFonts w:eastAsiaTheme="minorEastAsia"/>
          <w:color w:val="auto"/>
          <w:vertAlign w:val="subscript"/>
        </w:rPr>
        <w:lastRenderedPageBreak/>
        <w:tab/>
      </w:r>
      <w:r w:rsidRPr="003F0C28">
        <w:rPr>
          <w:rFonts w:eastAsiaTheme="minorEastAsia"/>
          <w:color w:val="auto"/>
          <w:vertAlign w:val="subscript"/>
        </w:rPr>
        <w:tab/>
      </w:r>
      <w:r w:rsidRPr="0067036E">
        <w:rPr>
          <w:rFonts w:eastAsiaTheme="minorEastAsia"/>
          <w:color w:val="auto"/>
        </w:rPr>
        <w:t>Wi</w:t>
      </w:r>
      <w:r>
        <w:rPr>
          <w:rFonts w:eastAsiaTheme="minorEastAsia"/>
          <w:color w:val="auto"/>
        </w:rPr>
        <w:t>rd die Lösung längere Zeit stehen gelassen, setzt sich der Schwefel auf dem Boden des Becherglases ab.</w:t>
      </w:r>
    </w:p>
    <w:p w:rsidR="00143FAC" w:rsidRDefault="00143FAC" w:rsidP="00143FAC">
      <w:pPr>
        <w:tabs>
          <w:tab w:val="left" w:pos="1701"/>
          <w:tab w:val="left" w:pos="1985"/>
        </w:tabs>
        <w:ind w:left="1985" w:hanging="2124"/>
      </w:pPr>
      <w:r>
        <w:t>Entsorgung:</w:t>
      </w:r>
      <w:r>
        <w:tab/>
        <w:t xml:space="preserve">      Anorganischer Abfallbehälter. </w:t>
      </w:r>
    </w:p>
    <w:p w:rsidR="00143FAC" w:rsidRDefault="00143FAC" w:rsidP="00143FAC">
      <w:pPr>
        <w:spacing w:line="276" w:lineRule="auto"/>
        <w:ind w:left="1985" w:hanging="2124"/>
        <w:jc w:val="left"/>
      </w:pPr>
      <w:r>
        <w:t>Literatur:</w:t>
      </w:r>
      <w:r>
        <w:tab/>
      </w:r>
      <w:r>
        <w:rPr>
          <w:color w:val="auto"/>
        </w:rPr>
        <w:t>Schmidkunz, H. (2011). Chemische Freihandversuche Band 1. Hallber</w:t>
      </w:r>
      <w:r>
        <w:rPr>
          <w:color w:val="auto"/>
        </w:rPr>
        <w:t>g</w:t>
      </w:r>
      <w:r>
        <w:rPr>
          <w:color w:val="auto"/>
        </w:rPr>
        <w:t xml:space="preserve">moos: </w:t>
      </w:r>
      <w:proofErr w:type="spellStart"/>
      <w:r>
        <w:rPr>
          <w:color w:val="auto"/>
        </w:rPr>
        <w:t>Aulis</w:t>
      </w:r>
      <w:proofErr w:type="spellEnd"/>
      <w:r>
        <w:rPr>
          <w:color w:val="auto"/>
        </w:rPr>
        <w:t xml:space="preserve"> Verlag.</w:t>
      </w:r>
    </w:p>
    <w:p w:rsidR="00D54C31" w:rsidRDefault="00143FAC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FAC"/>
    <w:rsid w:val="00143FAC"/>
    <w:rsid w:val="003F61E8"/>
    <w:rsid w:val="006568D0"/>
    <w:rsid w:val="006838B0"/>
    <w:rsid w:val="00741064"/>
    <w:rsid w:val="00CA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3FA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3FA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43FA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3FA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3FA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3FA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3F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3F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3F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3F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3FA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3FA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3FA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3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3F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3F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3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3F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3F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43FA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FA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991</Characters>
  <Application>Microsoft Office Word</Application>
  <DocSecurity>0</DocSecurity>
  <Lines>8</Lines>
  <Paragraphs>2</Paragraphs>
  <ScaleCrop>false</ScaleCrop>
  <Company>Frost-RL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2015-08-21T14:22:00Z</dcterms:created>
  <dcterms:modified xsi:type="dcterms:W3CDTF">2015-08-21T14:23:00Z</dcterms:modified>
</cp:coreProperties>
</file>