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39" w:rsidRPr="00D77939" w:rsidRDefault="00D77939" w:rsidP="00D77939">
      <w:pPr>
        <w:pStyle w:val="berschrift2"/>
        <w:numPr>
          <w:ilvl w:val="0"/>
          <w:numId w:val="0"/>
        </w:numPr>
        <w:ind w:left="576" w:hanging="576"/>
        <w:rPr>
          <w:rFonts w:ascii="Cambria" w:hAnsi="Cambria"/>
          <w:sz w:val="24"/>
        </w:rPr>
      </w:pPr>
      <w:r w:rsidRPr="00D77939">
        <w:rPr>
          <w:rFonts w:ascii="Cambria" w:hAnsi="Cambria"/>
          <w:sz w:val="24"/>
        </w:rPr>
        <w:t>Darstellung von Natriumchlorid – Metalloxid reagiert mit einer Säure</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7939" w:rsidRPr="00894260" w:rsidTr="00B44EA3">
        <w:tc>
          <w:tcPr>
            <w:tcW w:w="9322" w:type="dxa"/>
            <w:gridSpan w:val="9"/>
            <w:tcBorders>
              <w:bottom w:val="nil"/>
            </w:tcBorders>
            <w:shd w:val="clear" w:color="auto" w:fill="4F81BD"/>
            <w:vAlign w:val="center"/>
          </w:tcPr>
          <w:p w:rsidR="00D77939" w:rsidRPr="00894260" w:rsidRDefault="00D77939" w:rsidP="00B44EA3">
            <w:pPr>
              <w:spacing w:after="0"/>
              <w:jc w:val="center"/>
              <w:rPr>
                <w:b/>
                <w:bCs/>
                <w:color w:val="FFFFFF"/>
              </w:rPr>
            </w:pPr>
            <w:r w:rsidRPr="00894260">
              <w:rPr>
                <w:b/>
                <w:bCs/>
                <w:color w:val="FFFFFF"/>
              </w:rPr>
              <w:t>Gefahrenstoffe</w:t>
            </w:r>
          </w:p>
        </w:tc>
      </w:tr>
      <w:tr w:rsidR="00D77939" w:rsidRPr="00894260" w:rsidTr="00B44EA3">
        <w:trPr>
          <w:trHeight w:val="596"/>
        </w:trPr>
        <w:tc>
          <w:tcPr>
            <w:tcW w:w="3027" w:type="dxa"/>
            <w:gridSpan w:val="3"/>
            <w:tcBorders>
              <w:top w:val="nil"/>
              <w:bottom w:val="single" w:sz="4" w:space="0" w:color="auto"/>
            </w:tcBorders>
            <w:shd w:val="clear" w:color="auto" w:fill="auto"/>
            <w:vAlign w:val="center"/>
          </w:tcPr>
          <w:p w:rsidR="00D77939" w:rsidRPr="00894260" w:rsidRDefault="00D77939" w:rsidP="00B44EA3">
            <w:pPr>
              <w:spacing w:after="0"/>
              <w:jc w:val="center"/>
              <w:rPr>
                <w:bCs/>
              </w:rPr>
            </w:pPr>
            <w:r>
              <w:rPr>
                <w:bCs/>
              </w:rPr>
              <w:t>Natriumperoxid</w:t>
            </w:r>
          </w:p>
        </w:tc>
        <w:tc>
          <w:tcPr>
            <w:tcW w:w="3177" w:type="dxa"/>
            <w:gridSpan w:val="3"/>
            <w:tcBorders>
              <w:top w:val="nil"/>
              <w:bottom w:val="single" w:sz="4" w:space="0" w:color="auto"/>
            </w:tcBorders>
            <w:shd w:val="clear" w:color="auto" w:fill="auto"/>
            <w:vAlign w:val="center"/>
          </w:tcPr>
          <w:p w:rsidR="00D77939" w:rsidRPr="00894260" w:rsidRDefault="00D77939" w:rsidP="00B44EA3">
            <w:pPr>
              <w:pStyle w:val="Beschriftung"/>
              <w:spacing w:after="0"/>
              <w:jc w:val="center"/>
              <w:rPr>
                <w:sz w:val="22"/>
                <w:szCs w:val="22"/>
              </w:rPr>
            </w:pPr>
            <w:r w:rsidRPr="00894260">
              <w:rPr>
                <w:sz w:val="22"/>
                <w:szCs w:val="22"/>
              </w:rPr>
              <w:t>H</w:t>
            </w:r>
            <w:r>
              <w:rPr>
                <w:sz w:val="22"/>
                <w:szCs w:val="22"/>
              </w:rPr>
              <w:t>:</w:t>
            </w:r>
            <w:r w:rsidRPr="00894260">
              <w:rPr>
                <w:sz w:val="22"/>
                <w:szCs w:val="22"/>
              </w:rPr>
              <w:t xml:space="preserve"> </w:t>
            </w:r>
            <w:r>
              <w:rPr>
                <w:sz w:val="22"/>
                <w:szCs w:val="22"/>
              </w:rPr>
              <w:t>271-314</w:t>
            </w:r>
          </w:p>
        </w:tc>
        <w:tc>
          <w:tcPr>
            <w:tcW w:w="3118" w:type="dxa"/>
            <w:gridSpan w:val="3"/>
            <w:tcBorders>
              <w:top w:val="nil"/>
              <w:bottom w:val="single" w:sz="4" w:space="0" w:color="auto"/>
            </w:tcBorders>
            <w:shd w:val="clear" w:color="auto" w:fill="auto"/>
            <w:vAlign w:val="center"/>
          </w:tcPr>
          <w:p w:rsidR="00D77939" w:rsidRPr="00894260" w:rsidRDefault="00D77939" w:rsidP="00B44EA3">
            <w:pPr>
              <w:pStyle w:val="Beschriftung"/>
              <w:spacing w:after="0"/>
              <w:jc w:val="center"/>
              <w:rPr>
                <w:sz w:val="22"/>
                <w:szCs w:val="22"/>
              </w:rPr>
            </w:pPr>
            <w:r>
              <w:rPr>
                <w:sz w:val="22"/>
                <w:szCs w:val="22"/>
              </w:rPr>
              <w:t>P: 210-221-280-301+330+331-305+351+338-309+310</w:t>
            </w:r>
          </w:p>
        </w:tc>
      </w:tr>
      <w:tr w:rsidR="00D77939" w:rsidRPr="00894260" w:rsidTr="00B44EA3">
        <w:trPr>
          <w:trHeight w:val="596"/>
        </w:trPr>
        <w:tc>
          <w:tcPr>
            <w:tcW w:w="3027" w:type="dxa"/>
            <w:gridSpan w:val="3"/>
            <w:tcBorders>
              <w:top w:val="single" w:sz="4" w:space="0" w:color="auto"/>
            </w:tcBorders>
            <w:shd w:val="clear" w:color="auto" w:fill="auto"/>
            <w:vAlign w:val="center"/>
          </w:tcPr>
          <w:p w:rsidR="00D77939" w:rsidRPr="00894260" w:rsidRDefault="00D77939" w:rsidP="00B44EA3">
            <w:pPr>
              <w:spacing w:after="0"/>
              <w:jc w:val="center"/>
              <w:rPr>
                <w:bCs/>
              </w:rPr>
            </w:pPr>
            <w:r w:rsidRPr="00894260">
              <w:rPr>
                <w:bCs/>
              </w:rPr>
              <w:t>Salzsäure (</w:t>
            </w:r>
            <w:r>
              <w:rPr>
                <w:bCs/>
              </w:rPr>
              <w:t>2</w:t>
            </w:r>
            <w:r w:rsidRPr="00894260">
              <w:rPr>
                <w:bCs/>
              </w:rPr>
              <w:t xml:space="preserve"> M)</w:t>
            </w:r>
          </w:p>
        </w:tc>
        <w:tc>
          <w:tcPr>
            <w:tcW w:w="3177" w:type="dxa"/>
            <w:gridSpan w:val="3"/>
            <w:tcBorders>
              <w:top w:val="single" w:sz="4" w:space="0" w:color="auto"/>
            </w:tcBorders>
            <w:shd w:val="clear" w:color="auto" w:fill="auto"/>
            <w:vAlign w:val="center"/>
          </w:tcPr>
          <w:p w:rsidR="00D77939" w:rsidRPr="00894260" w:rsidRDefault="00D77939" w:rsidP="00B44EA3">
            <w:pPr>
              <w:pStyle w:val="Beschriftung"/>
              <w:spacing w:after="0"/>
              <w:jc w:val="center"/>
              <w:rPr>
                <w:sz w:val="22"/>
                <w:szCs w:val="22"/>
              </w:rPr>
            </w:pPr>
            <w:r w:rsidRPr="00894260">
              <w:rPr>
                <w:sz w:val="22"/>
                <w:szCs w:val="22"/>
              </w:rPr>
              <w:t>H: 290</w:t>
            </w:r>
          </w:p>
        </w:tc>
        <w:tc>
          <w:tcPr>
            <w:tcW w:w="3118" w:type="dxa"/>
            <w:gridSpan w:val="3"/>
            <w:tcBorders>
              <w:top w:val="single" w:sz="4" w:space="0" w:color="auto"/>
            </w:tcBorders>
            <w:shd w:val="clear" w:color="auto" w:fill="auto"/>
            <w:vAlign w:val="center"/>
          </w:tcPr>
          <w:p w:rsidR="00D77939" w:rsidRPr="00894260" w:rsidRDefault="00D77939" w:rsidP="00B44EA3">
            <w:pPr>
              <w:pStyle w:val="Beschriftung"/>
              <w:spacing w:after="0"/>
              <w:jc w:val="center"/>
              <w:rPr>
                <w:sz w:val="22"/>
                <w:szCs w:val="22"/>
              </w:rPr>
            </w:pPr>
          </w:p>
        </w:tc>
      </w:tr>
      <w:tr w:rsidR="00D77939" w:rsidRPr="00894260" w:rsidTr="00B44EA3">
        <w:tc>
          <w:tcPr>
            <w:tcW w:w="1009" w:type="dxa"/>
            <w:tcBorders>
              <w:top w:val="single" w:sz="8" w:space="0" w:color="4F81BD"/>
              <w:left w:val="single" w:sz="8" w:space="0" w:color="4F81BD"/>
              <w:bottom w:val="single" w:sz="8" w:space="0" w:color="4F81BD"/>
            </w:tcBorders>
            <w:shd w:val="clear" w:color="auto" w:fill="auto"/>
            <w:vAlign w:val="center"/>
          </w:tcPr>
          <w:p w:rsidR="00D77939" w:rsidRPr="00894260" w:rsidRDefault="00D77939" w:rsidP="00B44EA3">
            <w:pPr>
              <w:spacing w:after="0"/>
              <w:jc w:val="center"/>
              <w:rPr>
                <w:b/>
                <w:bCs/>
              </w:rPr>
            </w:pPr>
            <w:r w:rsidRPr="00894260">
              <w:rPr>
                <w:b/>
                <w:noProof/>
                <w:lang w:eastAsia="de-DE"/>
              </w:rPr>
              <w:drawing>
                <wp:inline distT="0" distB="0" distL="0" distR="0" wp14:anchorId="599CE9A3" wp14:editId="73BBEC80">
                  <wp:extent cx="500380" cy="500380"/>
                  <wp:effectExtent l="19050" t="0" r="0" b="0"/>
                  <wp:docPr id="72"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0B6CE5FC" wp14:editId="6BBFB535">
                  <wp:extent cx="500380" cy="500380"/>
                  <wp:effectExtent l="19050" t="0" r="0" b="0"/>
                  <wp:docPr id="73"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3497A917" wp14:editId="393EB47E">
                  <wp:extent cx="500380" cy="500380"/>
                  <wp:effectExtent l="19050" t="0" r="0" b="0"/>
                  <wp:docPr id="74"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359F1726" wp14:editId="3347CA52">
                  <wp:extent cx="500380" cy="500380"/>
                  <wp:effectExtent l="19050" t="0" r="0" b="0"/>
                  <wp:docPr id="75"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64298A7F" wp14:editId="28B31AC1">
                  <wp:extent cx="500380" cy="500380"/>
                  <wp:effectExtent l="19050" t="0" r="0" b="0"/>
                  <wp:docPr id="76"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7A16382D" wp14:editId="4175FCED">
                  <wp:extent cx="500380" cy="500380"/>
                  <wp:effectExtent l="19050" t="0" r="0" b="0"/>
                  <wp:docPr id="77"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6674DD32" wp14:editId="2C56C3D9">
                  <wp:extent cx="500380" cy="500380"/>
                  <wp:effectExtent l="19050" t="0" r="0" b="0"/>
                  <wp:docPr id="78"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17A418E7" wp14:editId="0D5C0AD2">
                  <wp:extent cx="509270" cy="509270"/>
                  <wp:effectExtent l="19050" t="0" r="5080" b="0"/>
                  <wp:docPr id="79"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7939" w:rsidRPr="00894260" w:rsidRDefault="00D77939" w:rsidP="00B44EA3">
            <w:pPr>
              <w:spacing w:after="0"/>
              <w:jc w:val="center"/>
            </w:pPr>
            <w:r w:rsidRPr="00894260">
              <w:rPr>
                <w:noProof/>
                <w:lang w:eastAsia="de-DE"/>
              </w:rPr>
              <w:drawing>
                <wp:inline distT="0" distB="0" distL="0" distR="0" wp14:anchorId="1F17D6E9" wp14:editId="709C5A18">
                  <wp:extent cx="500380" cy="500380"/>
                  <wp:effectExtent l="19050" t="0" r="0" b="0"/>
                  <wp:docPr id="80"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D77939" w:rsidRPr="00A34E36" w:rsidRDefault="00D77939" w:rsidP="00D77939">
      <w:pPr>
        <w:jc w:val="left"/>
      </w:pPr>
    </w:p>
    <w:p w:rsidR="00D77939" w:rsidRDefault="00D77939" w:rsidP="00D77939">
      <w:pPr>
        <w:tabs>
          <w:tab w:val="left" w:pos="1701"/>
          <w:tab w:val="left" w:pos="1985"/>
        </w:tabs>
        <w:ind w:left="1980" w:hanging="1980"/>
      </w:pPr>
      <w:r>
        <w:rPr>
          <w:noProof/>
          <w:lang w:eastAsia="de-DE"/>
        </w:rPr>
        <mc:AlternateContent>
          <mc:Choice Requires="wps">
            <w:drawing>
              <wp:inline distT="0" distB="0" distL="0" distR="0">
                <wp:extent cx="5873115" cy="583565"/>
                <wp:effectExtent l="13970" t="14605" r="8890" b="11430"/>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35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7939" w:rsidRPr="00F31EBF" w:rsidRDefault="00D77939" w:rsidP="00D77939">
                            <w:pPr>
                              <w:rPr>
                                <w:color w:val="auto"/>
                              </w:rPr>
                            </w:pPr>
                            <w:r>
                              <w:rPr>
                                <w:color w:val="auto"/>
                              </w:rPr>
                              <w:t>Natriumperoxid erfordert in der Schule eine besondere Ersatzstoffprüfung. Es lässt sich an dieser Stelle auch Natriumoxid verwenden.</w:t>
                            </w:r>
                          </w:p>
                          <w:p w:rsidR="00D77939" w:rsidRPr="00F31EBF" w:rsidRDefault="00D77939" w:rsidP="00D77939">
                            <w:pPr>
                              <w:rPr>
                                <w:color w:val="auto"/>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2" o:spid="_x0000_s1026" type="#_x0000_t202" style="width:462.45pt;height: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" fillcolor="white [3201]" strokecolor="#ed7d31 [3205]" strokeweight="1pt">
                <v:stroke dashstyle="dash"/>
                <v:shadow color="#868686"/>
                <v:textbox>
                  <w:txbxContent>
                    <w:p w:rsidR="00D77939" w:rsidRPr="00F31EBF" w:rsidRDefault="00D77939" w:rsidP="00D77939">
                      <w:pPr>
                        <w:rPr>
                          <w:color w:val="auto"/>
                        </w:rPr>
                      </w:pPr>
                      <w:r>
                        <w:rPr>
                          <w:color w:val="auto"/>
                        </w:rPr>
                        <w:t>Natriumperoxid erfordert in der Schule eine besondere Ersatzstoffprüfung. Es lässt sich an dieser Stelle auch Natriumoxid verwenden.</w:t>
                      </w:r>
                    </w:p>
                    <w:p w:rsidR="00D77939" w:rsidRPr="00F31EBF" w:rsidRDefault="00D77939" w:rsidP="00D77939">
                      <w:pPr>
                        <w:rPr>
                          <w:color w:val="auto"/>
                        </w:rPr>
                      </w:pPr>
                    </w:p>
                  </w:txbxContent>
                </v:textbox>
                <w10:anchorlock/>
              </v:shape>
            </w:pict>
          </mc:Fallback>
        </mc:AlternateContent>
      </w:r>
    </w:p>
    <w:p w:rsidR="00D77939" w:rsidRDefault="00D77939" w:rsidP="00D77939">
      <w:pPr>
        <w:tabs>
          <w:tab w:val="left" w:pos="1701"/>
          <w:tab w:val="left" w:pos="1985"/>
        </w:tabs>
        <w:ind w:left="1980" w:hanging="1980"/>
      </w:pPr>
      <w:r>
        <w:t xml:space="preserve">Materialien: </w:t>
      </w:r>
      <w:r>
        <w:tab/>
      </w:r>
      <w:r>
        <w:tab/>
        <w:t xml:space="preserve">Spatel, Waage, </w:t>
      </w:r>
      <w:proofErr w:type="spellStart"/>
      <w:r>
        <w:t>Wägepapier</w:t>
      </w:r>
      <w:proofErr w:type="spellEnd"/>
      <w:r>
        <w:t>, Becherglas, Gasbrenner, Dreifuß, Becherglas</w:t>
      </w:r>
    </w:p>
    <w:p w:rsidR="00D77939" w:rsidRDefault="00D77939" w:rsidP="00D77939">
      <w:pPr>
        <w:tabs>
          <w:tab w:val="left" w:pos="1701"/>
          <w:tab w:val="left" w:pos="1985"/>
        </w:tabs>
        <w:ind w:left="1980" w:hanging="1980"/>
      </w:pPr>
      <w:r>
        <w:t>Chemikalien</w:t>
      </w:r>
      <w:r>
        <w:tab/>
      </w:r>
      <w:r>
        <w:tab/>
        <w:t xml:space="preserve">20 </w:t>
      </w:r>
      <w:proofErr w:type="spellStart"/>
      <w:r>
        <w:t>mL</w:t>
      </w:r>
      <w:proofErr w:type="spellEnd"/>
      <w:r>
        <w:t xml:space="preserve"> 2 M Salzsäure, 3,6 g Natriumperoxid</w:t>
      </w:r>
    </w:p>
    <w:p w:rsidR="00D77939" w:rsidRDefault="00D77939" w:rsidP="00D77939">
      <w:pPr>
        <w:tabs>
          <w:tab w:val="left" w:pos="1701"/>
          <w:tab w:val="left" w:pos="1985"/>
        </w:tabs>
        <w:ind w:left="1980" w:hanging="1980"/>
      </w:pPr>
      <w:r>
        <w:t xml:space="preserve">Durchführung: </w:t>
      </w:r>
      <w:r>
        <w:tab/>
      </w:r>
      <w:r>
        <w:tab/>
        <w:t xml:space="preserve">In einem Becherglas werden 3,6 g Natriumperoxid langsam in 20 </w:t>
      </w:r>
      <w:proofErr w:type="spellStart"/>
      <w:r>
        <w:t>mL</w:t>
      </w:r>
      <w:proofErr w:type="spellEnd"/>
      <w:r>
        <w:t xml:space="preserve"> 2 M Salzsäure gelöst. Die Lösung wird auf einem Dreifuß über der Brennerflamme eingedampft.</w:t>
      </w:r>
    </w:p>
    <w:p w:rsidR="00D77939" w:rsidRDefault="00D77939" w:rsidP="00D77939">
      <w:pPr>
        <w:tabs>
          <w:tab w:val="left" w:pos="1701"/>
          <w:tab w:val="left" w:pos="1985"/>
        </w:tabs>
        <w:ind w:left="1980" w:hanging="1980"/>
      </w:pPr>
      <w:r>
        <w:t>Beobachtung:</w:t>
      </w:r>
      <w:r>
        <w:tab/>
      </w:r>
      <w:r>
        <w:tab/>
        <w:t>Während der Zugabe von Natriumperoxid in die Salzsäure bildet sich ein Gas. Während des Eindampfens steigt zu Beginn Gas auf fällt, später fällt ein kristalliner weißer Niederschlag aus, welcher nach dem Eindampfen im Becherglas zurückbleibt.</w:t>
      </w:r>
    </w:p>
    <w:p w:rsidR="00D77939" w:rsidRDefault="00D77939" w:rsidP="00D77939">
      <w:pPr>
        <w:tabs>
          <w:tab w:val="left" w:pos="1701"/>
          <w:tab w:val="left" w:pos="1985"/>
        </w:tabs>
        <w:ind w:left="1985" w:hanging="1985"/>
        <w:rPr>
          <w:rFonts w:eastAsiaTheme="minorEastAsia"/>
        </w:rPr>
      </w:pPr>
      <w:r>
        <w:t>Deutung:</w:t>
      </w:r>
      <w:r>
        <w:tab/>
      </w:r>
      <w:r>
        <w:tab/>
      </w:r>
      <m:oMath>
        <m:sSub>
          <m:sSubPr>
            <m:ctrlPr>
              <w:rPr>
                <w:rFonts w:ascii="Cambria Math" w:hAnsi="Cambria Math"/>
                <w:i/>
              </w:rPr>
            </m:ctrlPr>
          </m:sSubPr>
          <m:e>
            <m:sSub>
              <m:sSubPr>
                <m:ctrlPr>
                  <w:rPr>
                    <w:rFonts w:ascii="Cambria Math" w:hAnsi="Cambria Math"/>
                    <w:i/>
                  </w:rPr>
                </m:ctrlPr>
              </m:sSubPr>
              <m:e>
                <m:r>
                  <w:rPr>
                    <w:rFonts w:ascii="Cambria Math" w:hAnsi="Cambria Math"/>
                  </w:rPr>
                  <m:t>Na</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2</m:t>
                </m:r>
              </m:sub>
            </m:sSub>
          </m:e>
          <m:sub>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2 HCl</m:t>
            </m:r>
          </m:e>
          <m:sub>
            <m:r>
              <w:rPr>
                <w:rFonts w:ascii="Cambria Math" w:hAnsi="Cambria Math"/>
              </w:rPr>
              <m:t>(aq)</m:t>
            </m:r>
          </m:sub>
        </m:sSub>
        <m:r>
          <w:rPr>
            <w:rFonts w:ascii="Cambria Math" w:hAnsi="Cambria Math"/>
          </w:rPr>
          <m:t xml:space="preserve"> → </m:t>
        </m:r>
        <m:sSub>
          <m:sSubPr>
            <m:ctrlPr>
              <w:rPr>
                <w:rFonts w:ascii="Cambria Math" w:hAnsi="Cambria Math"/>
                <w:i/>
              </w:rPr>
            </m:ctrlPr>
          </m:sSubPr>
          <m:e>
            <m:r>
              <w:rPr>
                <w:rFonts w:ascii="Cambria Math" w:hAnsi="Cambria Math"/>
              </w:rPr>
              <m:t>2 NaCl</m:t>
            </m:r>
          </m:e>
          <m:sub>
            <m:r>
              <w:rPr>
                <w:rFonts w:ascii="Cambria Math" w:hAnsi="Cambria Math"/>
              </w:rPr>
              <m:t>(aq)</m:t>
            </m:r>
          </m:sub>
        </m:sSub>
        <m:r>
          <w:rPr>
            <w:rFonts w:ascii="Cambria Math" w:hAnsi="Cambria Math"/>
          </w:rPr>
          <m:t xml:space="preserve">+ </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CO</m:t>
                </m:r>
              </m:e>
              <m:sub>
                <m:r>
                  <w:rPr>
                    <w:rFonts w:ascii="Cambria Math" w:hAnsi="Cambria Math"/>
                  </w:rPr>
                  <m:t>3</m:t>
                </m:r>
              </m:sub>
            </m:sSub>
          </m:e>
          <m:sub>
            <m:r>
              <w:rPr>
                <w:rFonts w:ascii="Cambria Math" w:hAnsi="Cambria Math"/>
              </w:rPr>
              <m:t>(g)</m:t>
            </m:r>
          </m:sub>
        </m:sSub>
      </m:oMath>
    </w:p>
    <w:p w:rsidR="00D77939" w:rsidRDefault="00D77939" w:rsidP="00D77939">
      <w:pPr>
        <w:tabs>
          <w:tab w:val="left" w:pos="1701"/>
          <w:tab w:val="left" w:pos="1985"/>
        </w:tabs>
        <w:ind w:left="1985" w:hanging="1985"/>
        <w:rPr>
          <w:rFonts w:eastAsiaTheme="minorEastAsia"/>
        </w:rPr>
      </w:pPr>
      <w:r>
        <w:rPr>
          <w:rFonts w:eastAsiaTheme="minorEastAsia"/>
        </w:rPr>
        <w:tab/>
      </w:r>
      <w:r>
        <w:rPr>
          <w:rFonts w:eastAsiaTheme="minorEastAsia"/>
        </w:rPr>
        <w:tab/>
        <w:t>Durch die Eindampfung sinkt zu Beginn die Löslichkeit von Kohlensäure später die von Natriumchlorid. Die Kohlensäure entweicht gasförmig, das Natriumchlorid es fällt kristallin aus.</w:t>
      </w:r>
    </w:p>
    <w:p w:rsidR="00D77939" w:rsidRDefault="00D77939" w:rsidP="00D77939">
      <w:pPr>
        <w:tabs>
          <w:tab w:val="left" w:pos="1701"/>
          <w:tab w:val="left" w:pos="1985"/>
        </w:tabs>
        <w:ind w:left="1985" w:hanging="1985"/>
      </w:pPr>
      <w:r>
        <w:t>Entsorgung:</w:t>
      </w:r>
      <w:r>
        <w:tab/>
      </w:r>
      <w:r>
        <w:tab/>
        <w:t>Das Salz kann in den Feststoffabfall gegeben werden.</w:t>
      </w:r>
    </w:p>
    <w:p w:rsidR="000B6082" w:rsidRDefault="00D77939">
      <w:r>
        <w:rPr>
          <w:noProof/>
          <w:lang w:eastAsia="de-DE"/>
        </w:rPr>
        <mc:AlternateContent>
          <mc:Choice Requires="wps">
            <w:drawing>
              <wp:inline distT="0" distB="0" distL="0" distR="0">
                <wp:extent cx="5873115" cy="1228725"/>
                <wp:effectExtent l="13970" t="13970" r="8890" b="1460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287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77939" w:rsidRDefault="00D77939" w:rsidP="00D77939">
                            <w:pPr>
                              <w:rPr>
                                <w:color w:val="auto"/>
                              </w:rPr>
                            </w:pPr>
                            <w:r>
                              <w:rPr>
                                <w:color w:val="auto"/>
                              </w:rPr>
                              <w:t xml:space="preserve">Natrium-, Chlorid- und </w:t>
                            </w:r>
                            <w:proofErr w:type="spellStart"/>
                            <w:r>
                              <w:rPr>
                                <w:color w:val="auto"/>
                              </w:rPr>
                              <w:t>Carbonationen</w:t>
                            </w:r>
                            <w:proofErr w:type="spellEnd"/>
                            <w:r>
                              <w:rPr>
                                <w:color w:val="auto"/>
                              </w:rPr>
                              <w:t xml:space="preserve"> sollten im Anschluss nachgewiesen werden.</w:t>
                            </w:r>
                          </w:p>
                          <w:p w:rsidR="00D77939" w:rsidRPr="00F31EBF" w:rsidRDefault="00D77939" w:rsidP="00D77939">
                            <w:pPr>
                              <w:rPr>
                                <w:color w:val="auto"/>
                              </w:rPr>
                            </w:pPr>
                            <w:r>
                              <w:rPr>
                                <w:color w:val="auto"/>
                              </w:rPr>
                              <w:t xml:space="preserve">Es bietet sich hier an, die Nachweisreaktionen im Vorfeld sowohl mit Natriumperoxid als auch mit Salzsäure durchzuführen. Salzsäure ist negativ für Natriumionen, so wie Natriumperoxid negativ auf </w:t>
                            </w:r>
                            <w:proofErr w:type="spellStart"/>
                            <w:r>
                              <w:rPr>
                                <w:color w:val="auto"/>
                              </w:rPr>
                              <w:t>Chloridionen</w:t>
                            </w:r>
                            <w:proofErr w:type="spellEnd"/>
                            <w:r>
                              <w:rPr>
                                <w:color w:val="auto"/>
                              </w:rPr>
                              <w:t xml:space="preserve"> ist.  Der Test auf </w:t>
                            </w:r>
                            <w:proofErr w:type="spellStart"/>
                            <w:r>
                              <w:rPr>
                                <w:color w:val="auto"/>
                              </w:rPr>
                              <w:t>Carbonationen</w:t>
                            </w:r>
                            <w:proofErr w:type="spellEnd"/>
                            <w:r>
                              <w:rPr>
                                <w:color w:val="auto"/>
                              </w:rPr>
                              <w:t xml:space="preserve"> ist negativ</w:t>
                            </w:r>
                          </w:p>
                          <w:p w:rsidR="00D77939" w:rsidRPr="00F31EBF" w:rsidRDefault="00D77939" w:rsidP="00D77939">
                            <w:pPr>
                              <w:rPr>
                                <w:color w:val="auto"/>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" fillcolor="white [3201]" strokecolor="#ed7d31 [3205]" strokeweight="1pt">
                <v:stroke dashstyle="dash"/>
                <v:shadow color="#868686"/>
                <v:textbox>
                  <w:txbxContent>
                    <w:p w:rsidR="00D77939" w:rsidRDefault="00D77939" w:rsidP="00D77939">
                      <w:pPr>
                        <w:rPr>
                          <w:color w:val="auto"/>
                        </w:rPr>
                      </w:pPr>
                      <w:r>
                        <w:rPr>
                          <w:color w:val="auto"/>
                        </w:rPr>
                        <w:t xml:space="preserve">Natrium-, Chlorid- und </w:t>
                      </w:r>
                      <w:proofErr w:type="spellStart"/>
                      <w:r>
                        <w:rPr>
                          <w:color w:val="auto"/>
                        </w:rPr>
                        <w:t>Carbonationen</w:t>
                      </w:r>
                      <w:proofErr w:type="spellEnd"/>
                      <w:r>
                        <w:rPr>
                          <w:color w:val="auto"/>
                        </w:rPr>
                        <w:t xml:space="preserve"> sollten im Anschluss nachgewiesen werden.</w:t>
                      </w:r>
                    </w:p>
                    <w:p w:rsidR="00D77939" w:rsidRPr="00F31EBF" w:rsidRDefault="00D77939" w:rsidP="00D77939">
                      <w:pPr>
                        <w:rPr>
                          <w:color w:val="auto"/>
                        </w:rPr>
                      </w:pPr>
                      <w:r>
                        <w:rPr>
                          <w:color w:val="auto"/>
                        </w:rPr>
                        <w:t xml:space="preserve">Es bietet sich hier an, die Nachweisreaktionen im Vorfeld sowohl mit Natriumperoxid als auch mit Salzsäure durchzuführen. Salzsäure ist negativ für Natriumionen, so wie Natriumperoxid negativ auf </w:t>
                      </w:r>
                      <w:proofErr w:type="spellStart"/>
                      <w:r>
                        <w:rPr>
                          <w:color w:val="auto"/>
                        </w:rPr>
                        <w:t>Chloridionen</w:t>
                      </w:r>
                      <w:proofErr w:type="spellEnd"/>
                      <w:r>
                        <w:rPr>
                          <w:color w:val="auto"/>
                        </w:rPr>
                        <w:t xml:space="preserve"> ist.  Der Test auf </w:t>
                      </w:r>
                      <w:proofErr w:type="spellStart"/>
                      <w:r>
                        <w:rPr>
                          <w:color w:val="auto"/>
                        </w:rPr>
                        <w:t>Carbonationen</w:t>
                      </w:r>
                      <w:proofErr w:type="spellEnd"/>
                      <w:r>
                        <w:rPr>
                          <w:color w:val="auto"/>
                        </w:rPr>
                        <w:t xml:space="preserve"> ist negativ</w:t>
                      </w:r>
                    </w:p>
                    <w:p w:rsidR="00D77939" w:rsidRPr="00F31EBF" w:rsidRDefault="00D77939" w:rsidP="00D77939">
                      <w:pPr>
                        <w:rPr>
                          <w:color w:val="auto"/>
                        </w:rPr>
                      </w:pPr>
                    </w:p>
                  </w:txbxContent>
                </v:textbox>
                <w10:anchorlock/>
              </v:shape>
            </w:pict>
          </mc:Fallback>
        </mc:AlternateContent>
      </w:r>
      <w:bookmarkStart w:id="0" w:name="_GoBack"/>
      <w:bookmarkEnd w:id="0"/>
    </w:p>
    <w:sectPr w:rsidR="000B6082" w:rsidSect="005B027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AF" w:rsidRDefault="00D82BAF" w:rsidP="00D77939">
      <w:pPr>
        <w:spacing w:after="0" w:line="240" w:lineRule="auto"/>
      </w:pPr>
      <w:r>
        <w:separator/>
      </w:r>
    </w:p>
  </w:endnote>
  <w:endnote w:type="continuationSeparator" w:id="0">
    <w:p w:rsidR="00D82BAF" w:rsidRDefault="00D82BAF" w:rsidP="00D7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9" w:rsidRDefault="00D779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9" w:rsidRDefault="00D7793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9" w:rsidRDefault="00D779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AF" w:rsidRDefault="00D82BAF" w:rsidP="00D77939">
      <w:pPr>
        <w:spacing w:after="0" w:line="240" w:lineRule="auto"/>
      </w:pPr>
      <w:r>
        <w:separator/>
      </w:r>
    </w:p>
  </w:footnote>
  <w:footnote w:type="continuationSeparator" w:id="0">
    <w:p w:rsidR="00D82BAF" w:rsidRDefault="00D82BAF" w:rsidP="00D77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9" w:rsidRDefault="00D779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8DE" w:rsidRPr="0080101C" w:rsidRDefault="00D82BAF" w:rsidP="0049087A">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39" w:rsidRDefault="00D779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939"/>
    <w:rsid w:val="000B6082"/>
    <w:rsid w:val="00D77939"/>
    <w:rsid w:val="00D82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841B9-068A-423F-A23F-3A082134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7939"/>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77939"/>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77939"/>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77939"/>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77939"/>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77939"/>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77939"/>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7793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793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7793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7939"/>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77939"/>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77939"/>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77939"/>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77939"/>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77939"/>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7793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7793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77939"/>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77939"/>
    <w:pPr>
      <w:spacing w:line="240" w:lineRule="auto"/>
    </w:pPr>
    <w:rPr>
      <w:bCs/>
      <w:color w:val="auto"/>
      <w:sz w:val="18"/>
      <w:szCs w:val="18"/>
    </w:rPr>
  </w:style>
  <w:style w:type="paragraph" w:styleId="Kopfzeile">
    <w:name w:val="header"/>
    <w:basedOn w:val="Standard"/>
    <w:link w:val="KopfzeileZchn"/>
    <w:uiPriority w:val="99"/>
    <w:unhideWhenUsed/>
    <w:rsid w:val="00D779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7939"/>
    <w:rPr>
      <w:rFonts w:ascii="Cambria" w:hAnsi="Cambria"/>
      <w:color w:val="171717" w:themeColor="background2" w:themeShade="1A"/>
    </w:rPr>
  </w:style>
  <w:style w:type="paragraph" w:styleId="Fuzeile">
    <w:name w:val="footer"/>
    <w:basedOn w:val="Standard"/>
    <w:link w:val="FuzeileZchn"/>
    <w:uiPriority w:val="99"/>
    <w:unhideWhenUsed/>
    <w:rsid w:val="00D779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7939"/>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2015-08-27T09:54:00Z</dcterms:created>
  <dcterms:modified xsi:type="dcterms:W3CDTF">2015-08-27T10:03:00Z</dcterms:modified>
</cp:coreProperties>
</file>