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92" w:rsidRPr="00984EF9" w:rsidRDefault="00530C92" w:rsidP="00530C92">
      <w:pPr>
        <w:pStyle w:val="berschrift1"/>
        <w:numPr>
          <w:ilvl w:val="0"/>
          <w:numId w:val="0"/>
        </w:numPr>
        <w:ind w:left="432" w:hanging="432"/>
      </w:pPr>
      <w:bookmarkStart w:id="0" w:name="_Toc427399861"/>
      <w:bookmarkStart w:id="1" w:name="_Toc426922723"/>
      <w:bookmarkStart w:id="2" w:name="_GoBack"/>
      <w:bookmarkEnd w:id="2"/>
      <w:r>
        <w:t>Darstellung von Natriumchlorid – Metall reagiert mit einer Säure</w:t>
      </w:r>
      <w:bookmarkEnd w:id="0"/>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30C92" w:rsidRPr="00894260" w:rsidTr="00395FF3">
        <w:tc>
          <w:tcPr>
            <w:tcW w:w="9322" w:type="dxa"/>
            <w:gridSpan w:val="9"/>
            <w:shd w:val="clear" w:color="auto" w:fill="4F81BD"/>
            <w:vAlign w:val="center"/>
          </w:tcPr>
          <w:p w:rsidR="00530C92" w:rsidRPr="00894260" w:rsidRDefault="00530C92" w:rsidP="00395FF3">
            <w:pPr>
              <w:spacing w:after="0"/>
              <w:jc w:val="center"/>
              <w:rPr>
                <w:b/>
                <w:bCs/>
                <w:color w:val="FFFFFF"/>
              </w:rPr>
            </w:pPr>
            <w:r w:rsidRPr="00894260">
              <w:rPr>
                <w:b/>
                <w:bCs/>
                <w:color w:val="FFFFFF"/>
              </w:rPr>
              <w:t>Gefahrenstoffe</w:t>
            </w:r>
          </w:p>
        </w:tc>
      </w:tr>
      <w:tr w:rsidR="00530C92" w:rsidRPr="00894260" w:rsidTr="00395FF3">
        <w:trPr>
          <w:trHeight w:val="575"/>
        </w:trPr>
        <w:tc>
          <w:tcPr>
            <w:tcW w:w="3027" w:type="dxa"/>
            <w:gridSpan w:val="3"/>
            <w:tcBorders>
              <w:top w:val="single" w:sz="8" w:space="0" w:color="4F81BD"/>
              <w:left w:val="single" w:sz="8" w:space="0" w:color="4F81BD"/>
              <w:bottom w:val="single" w:sz="8" w:space="0" w:color="4F81BD"/>
            </w:tcBorders>
            <w:shd w:val="clear" w:color="auto" w:fill="auto"/>
            <w:vAlign w:val="center"/>
          </w:tcPr>
          <w:p w:rsidR="00530C92" w:rsidRDefault="00530C92" w:rsidP="00395FF3">
            <w:pPr>
              <w:spacing w:after="0"/>
              <w:jc w:val="center"/>
              <w:rPr>
                <w:bCs/>
              </w:rPr>
            </w:pPr>
            <w:r>
              <w:rPr>
                <w:bCs/>
              </w:rPr>
              <w:t>Wasserstoff</w:t>
            </w:r>
          </w:p>
        </w:tc>
        <w:tc>
          <w:tcPr>
            <w:tcW w:w="3177" w:type="dxa"/>
            <w:gridSpan w:val="3"/>
            <w:tcBorders>
              <w:top w:val="single" w:sz="8" w:space="0" w:color="4F81BD"/>
              <w:bottom w:val="single" w:sz="8" w:space="0" w:color="4F81BD"/>
            </w:tcBorders>
            <w:shd w:val="clear" w:color="auto" w:fill="auto"/>
            <w:vAlign w:val="center"/>
          </w:tcPr>
          <w:p w:rsidR="00530C92" w:rsidRDefault="00530C92" w:rsidP="00395FF3">
            <w:pPr>
              <w:spacing w:after="0"/>
              <w:jc w:val="center"/>
            </w:pPr>
            <w:r>
              <w:t>H:220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30C92" w:rsidRPr="00894260" w:rsidRDefault="00530C92" w:rsidP="00395FF3">
            <w:pPr>
              <w:spacing w:after="0"/>
              <w:jc w:val="center"/>
            </w:pPr>
            <w:r>
              <w:t>P: 210-377-381-403</w:t>
            </w:r>
          </w:p>
        </w:tc>
      </w:tr>
      <w:tr w:rsidR="00530C92" w:rsidRPr="00894260" w:rsidTr="00395FF3">
        <w:trPr>
          <w:trHeight w:val="575"/>
        </w:trPr>
        <w:tc>
          <w:tcPr>
            <w:tcW w:w="3027" w:type="dxa"/>
            <w:gridSpan w:val="3"/>
            <w:tcBorders>
              <w:top w:val="single" w:sz="8" w:space="0" w:color="4F81BD"/>
              <w:left w:val="single" w:sz="8" w:space="0" w:color="4F81BD"/>
              <w:bottom w:val="single" w:sz="8" w:space="0" w:color="4F81BD"/>
            </w:tcBorders>
            <w:shd w:val="clear" w:color="auto" w:fill="auto"/>
            <w:vAlign w:val="center"/>
          </w:tcPr>
          <w:p w:rsidR="00530C92" w:rsidRPr="00894260" w:rsidRDefault="00530C92" w:rsidP="00395FF3">
            <w:pPr>
              <w:spacing w:after="0"/>
              <w:jc w:val="center"/>
              <w:rPr>
                <w:b/>
                <w:bCs/>
              </w:rPr>
            </w:pPr>
            <w:r>
              <w:rPr>
                <w:bCs/>
              </w:rPr>
              <w:t>Salzsäure (0,5 M)</w:t>
            </w:r>
          </w:p>
        </w:tc>
        <w:tc>
          <w:tcPr>
            <w:tcW w:w="3177" w:type="dxa"/>
            <w:gridSpan w:val="3"/>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t xml:space="preserve">H: </w:t>
            </w:r>
            <w:r w:rsidRPr="00894260">
              <w:t>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30C92" w:rsidRPr="00894260" w:rsidRDefault="00530C92" w:rsidP="00395FF3">
            <w:pPr>
              <w:spacing w:after="0"/>
              <w:jc w:val="center"/>
            </w:pPr>
          </w:p>
        </w:tc>
      </w:tr>
      <w:tr w:rsidR="00530C92" w:rsidRPr="00894260" w:rsidTr="00395FF3">
        <w:tc>
          <w:tcPr>
            <w:tcW w:w="3027" w:type="dxa"/>
            <w:gridSpan w:val="3"/>
            <w:tcBorders>
              <w:top w:val="single" w:sz="8" w:space="0" w:color="4F81BD"/>
              <w:left w:val="single" w:sz="8" w:space="0" w:color="4F81BD"/>
              <w:bottom w:val="single" w:sz="8" w:space="0" w:color="4F81BD"/>
            </w:tcBorders>
            <w:shd w:val="clear" w:color="auto" w:fill="auto"/>
            <w:vAlign w:val="center"/>
          </w:tcPr>
          <w:p w:rsidR="00530C92" w:rsidRDefault="00530C92" w:rsidP="00395FF3">
            <w:pPr>
              <w:spacing w:after="0"/>
              <w:jc w:val="center"/>
              <w:rPr>
                <w:bCs/>
              </w:rPr>
            </w:pPr>
            <w:r>
              <w:rPr>
                <w:bCs/>
              </w:rPr>
              <w:t>Natrium</w:t>
            </w:r>
          </w:p>
        </w:tc>
        <w:tc>
          <w:tcPr>
            <w:tcW w:w="3177" w:type="dxa"/>
            <w:gridSpan w:val="3"/>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t>H: 260-314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30C92" w:rsidRPr="00894260" w:rsidRDefault="00530C92" w:rsidP="00395FF3">
            <w:pPr>
              <w:spacing w:after="0"/>
              <w:jc w:val="center"/>
            </w:pPr>
            <w:r>
              <w:t>P: 280-301+330+331-305+351+338-309+310-370+378-422</w:t>
            </w:r>
          </w:p>
        </w:tc>
      </w:tr>
      <w:tr w:rsidR="00530C92" w:rsidRPr="00894260" w:rsidTr="00395FF3">
        <w:tc>
          <w:tcPr>
            <w:tcW w:w="1009" w:type="dxa"/>
            <w:tcBorders>
              <w:top w:val="single" w:sz="8" w:space="0" w:color="4F81BD"/>
              <w:left w:val="single" w:sz="8" w:space="0" w:color="4F81BD"/>
              <w:bottom w:val="single" w:sz="8" w:space="0" w:color="4F81BD"/>
            </w:tcBorders>
            <w:shd w:val="clear" w:color="auto" w:fill="auto"/>
            <w:vAlign w:val="center"/>
          </w:tcPr>
          <w:p w:rsidR="00530C92" w:rsidRPr="00894260" w:rsidRDefault="00530C92" w:rsidP="00395FF3">
            <w:pPr>
              <w:spacing w:after="0"/>
              <w:jc w:val="center"/>
              <w:rPr>
                <w:b/>
                <w:bCs/>
              </w:rPr>
            </w:pPr>
            <w:r>
              <w:rPr>
                <w:b/>
                <w:noProof/>
                <w:lang w:eastAsia="de-DE"/>
              </w:rPr>
              <w:drawing>
                <wp:inline distT="0" distB="0" distL="0" distR="0" wp14:anchorId="2BD2BE1E" wp14:editId="4ED45FF0">
                  <wp:extent cx="504825" cy="504825"/>
                  <wp:effectExtent l="0" t="0" r="9525" b="9525"/>
                  <wp:docPr id="1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44714843" wp14:editId="48EE1685">
                  <wp:extent cx="504825" cy="504825"/>
                  <wp:effectExtent l="0" t="0" r="9525" b="9525"/>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70E2C088" wp14:editId="460127E7">
                  <wp:extent cx="504825" cy="504825"/>
                  <wp:effectExtent l="0" t="0" r="9525" b="9525"/>
                  <wp:docPr id="1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3564A48E" wp14:editId="7109BB0B">
                  <wp:extent cx="504825" cy="504825"/>
                  <wp:effectExtent l="0" t="0" r="9525" b="9525"/>
                  <wp:docPr id="1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1D597E93" wp14:editId="0D597E55">
                  <wp:extent cx="504825" cy="504825"/>
                  <wp:effectExtent l="0" t="0" r="9525" b="9525"/>
                  <wp:docPr id="2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3D504DCF" wp14:editId="4CC5CA40">
                  <wp:extent cx="504825" cy="504825"/>
                  <wp:effectExtent l="0" t="0" r="9525" b="9525"/>
                  <wp:docPr id="2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5AECE119" wp14:editId="4C8472D8">
                  <wp:extent cx="504825" cy="504825"/>
                  <wp:effectExtent l="0" t="0" r="9525" b="9525"/>
                  <wp:docPr id="2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10369E7D" wp14:editId="1A6AE8F8">
                  <wp:extent cx="504825" cy="504825"/>
                  <wp:effectExtent l="0" t="0" r="9525" b="9525"/>
                  <wp:docPr id="2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30C92" w:rsidRPr="00894260" w:rsidRDefault="00530C92" w:rsidP="00395FF3">
            <w:pPr>
              <w:spacing w:after="0"/>
              <w:jc w:val="center"/>
            </w:pPr>
            <w:r>
              <w:rPr>
                <w:noProof/>
                <w:lang w:eastAsia="de-DE"/>
              </w:rPr>
              <w:drawing>
                <wp:inline distT="0" distB="0" distL="0" distR="0" wp14:anchorId="1278377B" wp14:editId="28F524CE">
                  <wp:extent cx="504825" cy="504825"/>
                  <wp:effectExtent l="0" t="0" r="9525" b="9525"/>
                  <wp:docPr id="2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rsidR="00530C92" w:rsidRPr="008D6D4B" w:rsidRDefault="00530C92" w:rsidP="00530C92"/>
    <w:p w:rsidR="00530C92" w:rsidRDefault="00530C92" w:rsidP="00530C92">
      <w:pPr>
        <w:tabs>
          <w:tab w:val="left" w:pos="1701"/>
          <w:tab w:val="left" w:pos="1985"/>
        </w:tabs>
        <w:ind w:left="1980" w:hanging="1980"/>
      </w:pPr>
      <w:r>
        <w:t xml:space="preserve">Materialien: </w:t>
      </w:r>
      <w:r>
        <w:tab/>
      </w:r>
      <w:r>
        <w:tab/>
        <w:t xml:space="preserve">Becherglas, Küchenpapier, Pinzette, Waage, </w:t>
      </w:r>
      <w:proofErr w:type="spellStart"/>
      <w:r>
        <w:t>Wägepapier</w:t>
      </w:r>
      <w:proofErr w:type="spellEnd"/>
      <w:r>
        <w:t>, Abzug Chemikalien:</w:t>
      </w:r>
      <w:r>
        <w:tab/>
      </w:r>
      <w:r>
        <w:tab/>
        <w:t xml:space="preserve">20 </w:t>
      </w:r>
      <w:proofErr w:type="spellStart"/>
      <w:r>
        <w:t>mL</w:t>
      </w:r>
      <w:proofErr w:type="spellEnd"/>
      <w:r>
        <w:t xml:space="preserve"> Salzsäure (0,5 M), 0,23 g Natrium</w:t>
      </w:r>
    </w:p>
    <w:p w:rsidR="00530C92" w:rsidRDefault="00530C92" w:rsidP="00530C92">
      <w:pPr>
        <w:tabs>
          <w:tab w:val="left" w:pos="1701"/>
          <w:tab w:val="left" w:pos="1985"/>
        </w:tabs>
        <w:ind w:left="1980" w:hanging="1980"/>
      </w:pPr>
      <w:r>
        <w:t xml:space="preserve">Durchführung: </w:t>
      </w:r>
      <w:r>
        <w:tab/>
      </w:r>
      <w:r>
        <w:tab/>
        <w:t>Der Versuch wird auf Grund der Wasserstoffbildung unter einem Abzug durchgeführt. Die Salzsäure wird in ein Becherglas gegeben. Das Natrium wird mit Küchenpapier vom Paraffinöl befreit und mit Hilfe einer Pinzette in das Becherglas gegeben. Das Ende der Reaktion wird abgewartet.</w:t>
      </w:r>
    </w:p>
    <w:p w:rsidR="00530C92" w:rsidRDefault="00530C92" w:rsidP="00530C92">
      <w:pPr>
        <w:tabs>
          <w:tab w:val="left" w:pos="1701"/>
          <w:tab w:val="left" w:pos="1985"/>
        </w:tabs>
        <w:ind w:left="1980" w:hanging="1980"/>
      </w:pPr>
      <w:r>
        <w:tab/>
      </w:r>
      <w:r>
        <w:tab/>
        <w:t xml:space="preserve">Die Lösung wird auf einem </w:t>
      </w:r>
      <w:proofErr w:type="spellStart"/>
      <w:r>
        <w:t>Dreibein</w:t>
      </w:r>
      <w:proofErr w:type="spellEnd"/>
      <w:r>
        <w:t xml:space="preserve"> über der Brennerflamme eingedampft.</w:t>
      </w:r>
    </w:p>
    <w:p w:rsidR="00530C92" w:rsidRDefault="00530C92" w:rsidP="00530C92">
      <w:pPr>
        <w:tabs>
          <w:tab w:val="left" w:pos="1701"/>
          <w:tab w:val="left" w:pos="1985"/>
        </w:tabs>
        <w:ind w:left="1980" w:hanging="1980"/>
        <w:jc w:val="center"/>
      </w:pPr>
      <w:r>
        <w:rPr>
          <w:noProof/>
          <w:lang w:eastAsia="de-DE"/>
        </w:rPr>
        <w:drawing>
          <wp:inline distT="0" distB="0" distL="0" distR="0" wp14:anchorId="5F91B260" wp14:editId="7374E7E9">
            <wp:extent cx="4000500" cy="1504950"/>
            <wp:effectExtent l="0" t="0" r="0" b="0"/>
            <wp:docPr id="25" name="Bild 150" descr="Natrium in Salz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0" descr="Natrium in Salzsä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0" cy="1504950"/>
                    </a:xfrm>
                    <a:prstGeom prst="rect">
                      <a:avLst/>
                    </a:prstGeom>
                    <a:noFill/>
                    <a:ln>
                      <a:noFill/>
                    </a:ln>
                  </pic:spPr>
                </pic:pic>
              </a:graphicData>
            </a:graphic>
          </wp:inline>
        </w:drawing>
      </w:r>
    </w:p>
    <w:p w:rsidR="00530C92" w:rsidRPr="009D70FF" w:rsidRDefault="00530C92" w:rsidP="00530C92">
      <w:pPr>
        <w:jc w:val="center"/>
        <w:rPr>
          <w:sz w:val="18"/>
          <w:szCs w:val="18"/>
        </w:rPr>
      </w:pPr>
      <w:r>
        <w:rPr>
          <w:sz w:val="18"/>
          <w:szCs w:val="18"/>
        </w:rPr>
        <w:t>Abbildung 2. Natrium in verdünnter Salzsäure.</w:t>
      </w:r>
    </w:p>
    <w:p w:rsidR="00530C92" w:rsidRDefault="00530C92" w:rsidP="00530C92">
      <w:pPr>
        <w:tabs>
          <w:tab w:val="left" w:pos="1701"/>
          <w:tab w:val="left" w:pos="1985"/>
        </w:tabs>
        <w:ind w:left="1980" w:hanging="1980"/>
      </w:pPr>
      <w:r>
        <w:t>Beobachtung:</w:t>
      </w:r>
      <w:r>
        <w:tab/>
      </w:r>
      <w:r>
        <w:tab/>
        <w:t>Das Natrium bewegt sich schnell auf der Oberfläche der Salzsäure. Ein zischen ist zu hören. Das Natrium wird mit der Zeit kugelförmig, kleiner und verschwindet.</w:t>
      </w:r>
    </w:p>
    <w:p w:rsidR="00530C92" w:rsidRDefault="00530C92" w:rsidP="00530C92">
      <w:pPr>
        <w:tabs>
          <w:tab w:val="left" w:pos="1701"/>
          <w:tab w:val="left" w:pos="1985"/>
        </w:tabs>
        <w:ind w:left="1980" w:hanging="1980"/>
      </w:pPr>
      <w:r>
        <w:tab/>
      </w:r>
      <w:r>
        <w:tab/>
        <w:t>Beim Eindampfen fällt ein weißer kristalliner Feststoff aus, welcher als Niederschlag zurückbleibt.</w:t>
      </w:r>
    </w:p>
    <w:p w:rsidR="00530C92" w:rsidRDefault="00530C92" w:rsidP="00530C92">
      <w:pPr>
        <w:tabs>
          <w:tab w:val="left" w:pos="1701"/>
        </w:tabs>
        <w:ind w:left="1985" w:hanging="1985"/>
        <w:rPr>
          <w:rFonts w:eastAsiaTheme="minorEastAsia"/>
        </w:rPr>
      </w:pPr>
      <w:r>
        <w:lastRenderedPageBreak/>
        <w:t>Deutung:</w:t>
      </w:r>
      <w:r>
        <w:tab/>
      </w:r>
      <w:r>
        <w:tab/>
      </w:r>
      <w:r w:rsidRPr="00AB4E0A">
        <w:rPr>
          <w:rFonts w:eastAsiaTheme="minorEastAsia"/>
        </w:rPr>
        <w:fldChar w:fldCharType="begin"/>
      </w:r>
      <w:r w:rsidRPr="00AB4E0A">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2 Na</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2 HCl</m:t>
            </m:r>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2 NaCl</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r w:rsidRPr="00AB4E0A">
        <w:rPr>
          <w:rFonts w:eastAsiaTheme="minorEastAsia"/>
        </w:rPr>
        <w:instrText xml:space="preserve"> </w:instrText>
      </w:r>
      <w:r w:rsidRPr="00AB4E0A">
        <w:rPr>
          <w:rFonts w:eastAsiaTheme="minorEastAsia"/>
        </w:rPr>
        <w:fldChar w:fldCharType="separate"/>
      </w:r>
      <m:oMath>
        <m:sSubSup>
          <m:sSubSupPr>
            <m:ctrlPr>
              <w:rPr>
                <w:rFonts w:ascii="Cambria Math" w:hAnsi="Cambria Math"/>
                <w:i/>
                <w:color w:val="auto"/>
              </w:rPr>
            </m:ctrlPr>
          </m:sSubSupPr>
          <m:e>
            <m:r>
              <m:rPr>
                <m:sty m:val="p"/>
              </m:rPr>
              <w:rPr>
                <w:rFonts w:ascii="Cambria Math" w:hAnsi="Cambria Math"/>
              </w:rPr>
              <m:t>2 Na</m:t>
            </m:r>
          </m:e>
          <m:sub>
            <m:r>
              <m:rPr>
                <m:sty m:val="p"/>
              </m:rPr>
              <w:rPr>
                <w:rFonts w:ascii="Cambria Math" w:hAnsi="Cambria Math"/>
              </w:rPr>
              <m:t>(s)</m:t>
            </m:r>
          </m:sub>
          <m:sup/>
        </m:sSubSup>
        <m:r>
          <m:rPr>
            <m:sty m:val="p"/>
          </m:rPr>
          <w:rPr>
            <w:rFonts w:ascii="Cambria Math" w:hAnsi="Cambria Math"/>
          </w:rPr>
          <m:t xml:space="preserve">+ 2 </m:t>
        </m:r>
        <m:sSubSup>
          <m:sSubSupPr>
            <m:ctrlPr>
              <w:rPr>
                <w:rFonts w:ascii="Cambria Math" w:hAnsi="Cambria Math"/>
                <w:i/>
                <w:color w:val="auto"/>
              </w:rPr>
            </m:ctrlPr>
          </m:sSubSupPr>
          <m:e>
            <m:r>
              <m:rPr>
                <m:sty m:val="p"/>
              </m:rPr>
              <w:rPr>
                <w:rFonts w:ascii="Cambria Math" w:hAnsi="Cambria Math"/>
              </w:rPr>
              <m:t>H</m:t>
            </m:r>
          </m:e>
          <m:sub>
            <m:d>
              <m:dPr>
                <m:ctrlPr>
                  <w:rPr>
                    <w:rFonts w:ascii="Cambria Math" w:hAnsi="Cambria Math"/>
                    <w:i/>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 xml:space="preserve">+ 2 </m:t>
        </m:r>
        <m:sSubSup>
          <m:sSubSupPr>
            <m:ctrlPr>
              <w:rPr>
                <w:rFonts w:ascii="Cambria Math" w:hAnsi="Cambria Math"/>
                <w:i/>
                <w:color w:val="auto"/>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2 NaCl</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r w:rsidRPr="00AB4E0A">
        <w:rPr>
          <w:rFonts w:eastAsiaTheme="minorEastAsia"/>
        </w:rPr>
        <w:fldChar w:fldCharType="end"/>
      </w:r>
    </w:p>
    <w:p w:rsidR="00530C92" w:rsidRPr="00074A34" w:rsidRDefault="00530C92" w:rsidP="00530C92">
      <w:pPr>
        <w:tabs>
          <w:tab w:val="left" w:pos="1701"/>
        </w:tabs>
        <w:ind w:left="1985" w:hanging="1985"/>
      </w:pPr>
      <w:r>
        <w:rPr>
          <w:rFonts w:eastAsiaTheme="minorEastAsia"/>
        </w:rPr>
        <w:tab/>
      </w:r>
      <w:r>
        <w:rPr>
          <w:rFonts w:eastAsiaTheme="minorEastAsia"/>
        </w:rPr>
        <w:tab/>
        <w:t>Die Reaktion ist exotherm. Natrium löst sich in der Salzsäure. Beim Eindampfen wird Lösungsmittel entzogen, folglich sinkt die Löslichkeit von Natriumchlorid und es fällt als Feststoff aus.</w:t>
      </w:r>
    </w:p>
    <w:p w:rsidR="00530C92" w:rsidRDefault="00530C92" w:rsidP="00530C92">
      <w:pPr>
        <w:tabs>
          <w:tab w:val="left" w:pos="1701"/>
          <w:tab w:val="left" w:pos="1985"/>
        </w:tabs>
        <w:ind w:left="1985" w:hanging="1985"/>
      </w:pPr>
      <w:r>
        <w:t>Entsorgung:</w:t>
      </w:r>
      <w:r>
        <w:tab/>
      </w:r>
      <w:r>
        <w:tab/>
        <w:t>Das Salz kann in den Feststoffabfall gegeben werden.</w:t>
      </w:r>
    </w:p>
    <w:p w:rsidR="00530C92" w:rsidRDefault="00530C92" w:rsidP="00530C92">
      <w:pPr>
        <w:tabs>
          <w:tab w:val="left" w:pos="1701"/>
          <w:tab w:val="left" w:pos="1985"/>
        </w:tabs>
        <w:ind w:left="1980" w:hanging="1980"/>
      </w:pPr>
      <w:r>
        <w:rPr>
          <w:noProof/>
          <w:lang w:eastAsia="de-DE"/>
        </w:rPr>
        <mc:AlternateContent>
          <mc:Choice Requires="wps">
            <w:drawing>
              <wp:inline distT="0" distB="0" distL="0" distR="0" wp14:anchorId="66F1CA15" wp14:editId="64E26BF5">
                <wp:extent cx="5873115" cy="1956435"/>
                <wp:effectExtent l="9525" t="9525" r="13335" b="15240"/>
                <wp:docPr id="1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5643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0C92" w:rsidRDefault="00530C92" w:rsidP="00530C92">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w:t>
                            </w:r>
                          </w:p>
                          <w:p w:rsidR="00530C92" w:rsidRPr="00F31EBF" w:rsidRDefault="00530C92" w:rsidP="00530C92">
                            <w:pPr>
                              <w:rPr>
                                <w:color w:val="auto"/>
                              </w:rPr>
                            </w:pPr>
                            <w:r>
                              <w:rPr>
                                <w:color w:val="auto"/>
                              </w:rPr>
                              <w:t xml:space="preserve">Es bietet sich hier an, die Nachweisreaktionen im Vorfeld sowohl mit Natronlauge als auch mit Salzsäure durchzuführen. Salzsäure ist negativ für Natriumionen, so wie Natrium negativ auf </w:t>
                            </w:r>
                            <w:proofErr w:type="spellStart"/>
                            <w:r>
                              <w:rPr>
                                <w:color w:val="auto"/>
                              </w:rPr>
                              <w:t>Chloridionen</w:t>
                            </w:r>
                            <w:proofErr w:type="spellEnd"/>
                            <w:r>
                              <w:rPr>
                                <w:color w:val="auto"/>
                              </w:rPr>
                              <w:t xml:space="preserve"> ist. In Kombination mit konzentrierter Salzsäure fällt während der Reaktion Natriumchlorid aus. Es wirkt optisch wie ein Salzstreuer, welcher sich auf der Oberfläche der Salzsäure bewegt. Aufgrund der gebildeten Menge an Wasserstoff ist der Versuch unter dem Abzug durchzuführen.</w:t>
                            </w:r>
                          </w:p>
                          <w:p w:rsidR="00530C92" w:rsidRPr="00F31EBF" w:rsidRDefault="00530C92" w:rsidP="00530C92">
                            <w:pPr>
                              <w:rPr>
                                <w:color w:val="auto"/>
                              </w:rPr>
                            </w:pPr>
                          </w:p>
                        </w:txbxContent>
                      </wps:txbx>
                      <wps:bodyPr rot="0" vert="horz" wrap="square" lIns="91440" tIns="45720" rIns="91440" bIns="45720" anchor="t" anchorCtr="0" upright="1">
                        <a:noAutofit/>
                      </wps:bodyPr>
                    </wps:wsp>
                  </a:graphicData>
                </a:graphic>
              </wp:inline>
            </w:drawing>
          </mc:Choice>
          <mc:Fallback>
            <w:pict>
              <v:shapetype w14:anchorId="66F1CA15" id="_x0000_t202" coordsize="21600,21600" o:spt="202" path="m,l,21600r21600,l21600,xe">
                <v:stroke joinstyle="miter"/>
                <v:path gradientshapeok="t" o:connecttype="rect"/>
              </v:shapetype>
              <v:shape id="Text Box 315" o:spid="_x0000_s1026" type="#_x0000_t202" style="width:462.45pt;height:1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" strokecolor="#c0504d" strokeweight="1pt">
                <v:stroke dashstyle="dash"/>
                <v:shadow color="#868686"/>
                <v:textbox>
                  <w:txbxContent>
                    <w:p w:rsidR="00530C92" w:rsidRDefault="00530C92" w:rsidP="00530C92">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w:t>
                      </w:r>
                    </w:p>
                    <w:p w:rsidR="00530C92" w:rsidRPr="00F31EBF" w:rsidRDefault="00530C92" w:rsidP="00530C92">
                      <w:pPr>
                        <w:rPr>
                          <w:color w:val="auto"/>
                        </w:rPr>
                      </w:pPr>
                      <w:r>
                        <w:rPr>
                          <w:color w:val="auto"/>
                        </w:rPr>
                        <w:t xml:space="preserve">Es bietet sich hier an, die Nachweisreaktionen im Vorfeld sowohl mit Natronlauge als auch mit Salzsäure durchzuführen. Salzsäure ist negativ für Natriumionen, so wie Natrium negativ auf </w:t>
                      </w:r>
                      <w:proofErr w:type="spellStart"/>
                      <w:r>
                        <w:rPr>
                          <w:color w:val="auto"/>
                        </w:rPr>
                        <w:t>Chloridionen</w:t>
                      </w:r>
                      <w:proofErr w:type="spellEnd"/>
                      <w:r>
                        <w:rPr>
                          <w:color w:val="auto"/>
                        </w:rPr>
                        <w:t xml:space="preserve"> ist. In Kombination mit konzentrierter Salzsäure fällt während der Reaktion Natriumchlorid aus. Es wirkt optisch wie ein Salzstreuer, welcher sich auf der Oberfläche der Salzsäure bewegt. Aufgrund der gebildeten Menge an Wasserstoff ist der Versuch unter dem Abzug durchzuführen.</w:t>
                      </w:r>
                    </w:p>
                    <w:p w:rsidR="00530C92" w:rsidRPr="00F31EBF" w:rsidRDefault="00530C92" w:rsidP="00530C92">
                      <w:pPr>
                        <w:rPr>
                          <w:color w:val="auto"/>
                        </w:rPr>
                      </w:pPr>
                    </w:p>
                  </w:txbxContent>
                </v:textbox>
                <w10:anchorlock/>
              </v:shape>
            </w:pict>
          </mc:Fallback>
        </mc:AlternateContent>
      </w:r>
    </w:p>
    <w:p w:rsidR="00570160" w:rsidRDefault="00570160"/>
    <w:sectPr w:rsidR="005701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92"/>
    <w:rsid w:val="00530C92"/>
    <w:rsid w:val="00570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88BB-D1E8-4F1C-973F-61BD988C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0C92"/>
    <w:pPr>
      <w:spacing w:after="200"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30C92"/>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30C92"/>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530C92"/>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530C92"/>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530C92"/>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530C92"/>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530C92"/>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530C92"/>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530C92"/>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0C92"/>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530C92"/>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530C92"/>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530C92"/>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530C92"/>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530C92"/>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530C92"/>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530C92"/>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30C92"/>
    <w:rPr>
      <w:rFonts w:ascii="Cambria" w:eastAsia="Times New Roman"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2015-08-27T09:44:00Z</dcterms:created>
  <dcterms:modified xsi:type="dcterms:W3CDTF">2015-08-27T09:49:00Z</dcterms:modified>
</cp:coreProperties>
</file>