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8F5380" w:rsidP="00F31EBF">
      <w:pPr>
        <w:spacing w:line="276" w:lineRule="auto"/>
      </w:pPr>
      <w:r>
        <w:t>Constanze Koch</w:t>
      </w:r>
    </w:p>
    <w:p w:rsidR="00954DC8" w:rsidRDefault="008F5380" w:rsidP="00F31EBF">
      <w:pPr>
        <w:spacing w:line="276" w:lineRule="auto"/>
      </w:pPr>
      <w:r>
        <w:t>Sommers</w:t>
      </w:r>
      <w:r w:rsidR="00F74A95">
        <w:t>emester</w:t>
      </w:r>
      <w:r>
        <w:t xml:space="preserve"> 2015</w:t>
      </w:r>
    </w:p>
    <w:p w:rsidR="00954DC8" w:rsidRDefault="00254255" w:rsidP="00F31EBF">
      <w:pPr>
        <w:spacing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286385</wp:posOffset>
            </wp:positionV>
            <wp:extent cx="2858135" cy="2482215"/>
            <wp:effectExtent l="400050" t="400050" r="380365" b="413385"/>
            <wp:wrapSquare wrapText="bothSides"/>
            <wp:docPr id="4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869875">
                      <a:off x="0" y="0"/>
                      <a:ext cx="2858135" cy="2482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54DC8">
        <w:t xml:space="preserve">Klassenstufen </w:t>
      </w:r>
      <w:r w:rsidR="008F5380">
        <w:t>9</w:t>
      </w:r>
      <w:r w:rsidR="0007729E">
        <w:t xml:space="preserve"> &amp; </w:t>
      </w:r>
      <w:r w:rsidR="008F5380">
        <w:t>10</w:t>
      </w:r>
    </w:p>
    <w:p w:rsidR="00954DC8" w:rsidRDefault="00954DC8" w:rsidP="00954DC8">
      <w:r>
        <w:tab/>
      </w:r>
    </w:p>
    <w:p w:rsidR="008B7FD6" w:rsidRDefault="00254255" w:rsidP="00954DC8"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99060</wp:posOffset>
            </wp:positionV>
            <wp:extent cx="1360805" cy="4227195"/>
            <wp:effectExtent l="266700" t="114300" r="239395" b="116205"/>
            <wp:wrapSquare wrapText="bothSides"/>
            <wp:docPr id="2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396261">
                      <a:off x="0" y="0"/>
                      <a:ext cx="1360805" cy="4227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54255" w:rsidRDefault="00254255" w:rsidP="008B7FD6">
      <w:pPr>
        <w:rPr>
          <w:rFonts w:ascii="Times New Roman" w:hAnsi="Times New Roman" w:cs="Times New Roman"/>
          <w:sz w:val="52"/>
          <w:szCs w:val="24"/>
        </w:rPr>
      </w:pPr>
    </w:p>
    <w:p w:rsidR="00254255" w:rsidRDefault="00254255" w:rsidP="008B7FD6">
      <w:pPr>
        <w:rPr>
          <w:rFonts w:ascii="Times New Roman" w:hAnsi="Times New Roman" w:cs="Times New Roman"/>
          <w:sz w:val="52"/>
          <w:szCs w:val="24"/>
        </w:rPr>
      </w:pPr>
    </w:p>
    <w:p w:rsidR="00254255" w:rsidRDefault="00254255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drawing>
          <wp:anchor distT="0" distB="0" distL="114300" distR="114300" simplePos="0" relativeHeight="251785727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242570</wp:posOffset>
            </wp:positionV>
            <wp:extent cx="2390775" cy="2458720"/>
            <wp:effectExtent l="209550" t="152400" r="200025" b="151130"/>
            <wp:wrapSquare wrapText="bothSides"/>
            <wp:docPr id="39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1276">
                      <a:off x="0" y="0"/>
                      <a:ext cx="2390775" cy="2458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54255" w:rsidRDefault="00254255" w:rsidP="008B7FD6">
      <w:pPr>
        <w:rPr>
          <w:rFonts w:ascii="Times New Roman" w:hAnsi="Times New Roman" w:cs="Times New Roman"/>
          <w:sz w:val="52"/>
          <w:szCs w:val="24"/>
        </w:rPr>
      </w:pPr>
    </w:p>
    <w:p w:rsidR="00254255" w:rsidRDefault="00254255" w:rsidP="008B7FD6">
      <w:pPr>
        <w:rPr>
          <w:rFonts w:ascii="Times New Roman" w:hAnsi="Times New Roman" w:cs="Times New Roman"/>
          <w:sz w:val="52"/>
          <w:szCs w:val="24"/>
        </w:rPr>
      </w:pPr>
    </w:p>
    <w:p w:rsidR="00254255" w:rsidRDefault="00254255" w:rsidP="008B7FD6">
      <w:pPr>
        <w:rPr>
          <w:rFonts w:ascii="Times New Roman" w:hAnsi="Times New Roman" w:cs="Times New Roman"/>
          <w:sz w:val="52"/>
          <w:szCs w:val="24"/>
        </w:rPr>
      </w:pPr>
    </w:p>
    <w:p w:rsidR="00254255" w:rsidRDefault="0058721C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2" type="#_x0000_t32" style="position:absolute;left:0;text-align:left;margin-left:19.4pt;margin-top:47.25pt;width:426.75pt;height:0;z-index:251792384" o:connectortype="straight"/>
        </w:pict>
      </w:r>
    </w:p>
    <w:p w:rsidR="0006684E" w:rsidRPr="00984EF9" w:rsidRDefault="0058721C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 w:rsidRPr="0058721C"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 id="_x0000_s1153" type="#_x0000_t32" style="position:absolute;left:0;text-align:left;margin-left:24.4pt;margin-top:288.8pt;width:448.5pt;height:0;z-index:251784192" o:connectortype="straight"/>
        </w:pict>
      </w:r>
      <w:r w:rsidR="008F5380">
        <w:rPr>
          <w:rFonts w:asciiTheme="majorHAnsi" w:hAnsiTheme="majorHAnsi" w:cs="Times New Roman"/>
          <w:b/>
          <w:sz w:val="52"/>
          <w:szCs w:val="24"/>
        </w:rPr>
        <w:t>Qualitativer Nachweis von Säuren und Basen</w:t>
      </w:r>
    </w:p>
    <w:p w:rsidR="00984EF9" w:rsidRPr="00984EF9" w:rsidRDefault="0058721C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A90BD6" w:rsidRDefault="0058721C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35.6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155B1F" w:rsidRDefault="00155B1F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155B1F" w:rsidRPr="00F31EBF" w:rsidRDefault="00254255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In diesem Protokoll wird ein Lehrerversuch, der auch als Schülerversuch durchgeführt werden kann, und zwei Schülerversuche vorgestellt. Die Schülerinnen und Schüler sollen unterschiedl</w:t>
                  </w:r>
                  <w:r>
                    <w:rPr>
                      <w:rFonts w:asciiTheme="majorHAnsi" w:hAnsiTheme="majorHAnsi"/>
                      <w:color w:val="auto"/>
                    </w:rPr>
                    <w:t>i</w:t>
                  </w:r>
                  <w:r>
                    <w:rPr>
                      <w:rFonts w:asciiTheme="majorHAnsi" w:hAnsiTheme="majorHAnsi"/>
                      <w:color w:val="auto"/>
                    </w:rPr>
                    <w:t>che Nachweismethoden zum Thema Säuren und Basen kennen lernen. Dazu werden Alltagssto</w:t>
                  </w:r>
                  <w:r>
                    <w:rPr>
                      <w:rFonts w:asciiTheme="majorHAnsi" w:hAnsiTheme="majorHAnsi"/>
                      <w:color w:val="auto"/>
                    </w:rPr>
                    <w:t>f</w:t>
                  </w:r>
                  <w:r>
                    <w:rPr>
                      <w:rFonts w:asciiTheme="majorHAnsi" w:hAnsiTheme="majorHAnsi"/>
                      <w:color w:val="auto"/>
                    </w:rPr>
                    <w:t>fe wie Reinigungsmittel (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Rohrfrei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>) und Lebensmittel (Haushaltsessig) untersucht.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162E1C" w:rsidRDefault="0058721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8186827" w:history="1">
            <w:r w:rsidR="00162E1C" w:rsidRPr="00783100">
              <w:rPr>
                <w:rStyle w:val="Hyperlink"/>
                <w:noProof/>
              </w:rPr>
              <w:t>1</w:t>
            </w:r>
            <w:r w:rsidR="00162E1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162E1C" w:rsidRPr="00783100">
              <w:rPr>
                <w:rStyle w:val="Hyperlink"/>
                <w:noProof/>
              </w:rPr>
              <w:t>Weitere Lehrerversuche</w:t>
            </w:r>
            <w:r w:rsidR="00162E1C">
              <w:rPr>
                <w:noProof/>
                <w:webHidden/>
              </w:rPr>
              <w:tab/>
            </w:r>
            <w:r w:rsidR="00162E1C">
              <w:rPr>
                <w:noProof/>
                <w:webHidden/>
              </w:rPr>
              <w:fldChar w:fldCharType="begin"/>
            </w:r>
            <w:r w:rsidR="00162E1C">
              <w:rPr>
                <w:noProof/>
                <w:webHidden/>
              </w:rPr>
              <w:instrText xml:space="preserve"> PAGEREF _Toc428186827 \h </w:instrText>
            </w:r>
            <w:r w:rsidR="00162E1C">
              <w:rPr>
                <w:noProof/>
                <w:webHidden/>
              </w:rPr>
            </w:r>
            <w:r w:rsidR="00162E1C">
              <w:rPr>
                <w:noProof/>
                <w:webHidden/>
              </w:rPr>
              <w:fldChar w:fldCharType="separate"/>
            </w:r>
            <w:r w:rsidR="00162E1C">
              <w:rPr>
                <w:noProof/>
                <w:webHidden/>
              </w:rPr>
              <w:t>1</w:t>
            </w:r>
            <w:r w:rsidR="00162E1C">
              <w:rPr>
                <w:noProof/>
                <w:webHidden/>
              </w:rPr>
              <w:fldChar w:fldCharType="end"/>
            </w:r>
          </w:hyperlink>
        </w:p>
        <w:p w:rsidR="00162E1C" w:rsidRDefault="00162E1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86828" w:history="1">
            <w:r w:rsidRPr="00783100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783100">
              <w:rPr>
                <w:rStyle w:val="Hyperlink"/>
                <w:noProof/>
              </w:rPr>
              <w:t>V1 – NaOH in „Rohrfrei“-Granulat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_Toc428186828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2E1C" w:rsidRDefault="00162E1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86829" w:history="1">
            <w:r w:rsidRPr="00783100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783100">
              <w:rPr>
                <w:rStyle w:val="Hyperlink"/>
                <w:noProof/>
              </w:rPr>
              <w:t>Weitere Schülerversuche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_Toc428186829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2E1C" w:rsidRDefault="00162E1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86830" w:history="1">
            <w:r w:rsidRPr="00783100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783100">
              <w:rPr>
                <w:rStyle w:val="Hyperlink"/>
                <w:noProof/>
              </w:rPr>
              <w:t>V2 – Citrat-Nachweis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_Toc428186830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2E1C" w:rsidRDefault="00162E1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186831" w:history="1">
            <w:r w:rsidRPr="00783100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783100">
              <w:rPr>
                <w:rStyle w:val="Hyperlink"/>
                <w:noProof/>
              </w:rPr>
              <w:t>V3 – Essigsäure-Nachweis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_Toc428186831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58721C">
          <w:r>
            <w:fldChar w:fldCharType="end"/>
          </w:r>
        </w:p>
      </w:sdtContent>
    </w:sdt>
    <w:p w:rsidR="00E26180" w:rsidRDefault="00E26180" w:rsidP="00E26180"/>
    <w:p w:rsidR="005B0270" w:rsidRDefault="005B0270" w:rsidP="00E26180"/>
    <w:p w:rsidR="005B0270" w:rsidRPr="005B0270" w:rsidRDefault="005B0270" w:rsidP="005B0270"/>
    <w:p w:rsidR="005B0270" w:rsidRPr="005B0270" w:rsidRDefault="005B0270" w:rsidP="005B0270"/>
    <w:p w:rsidR="005B0270" w:rsidRPr="005B0270" w:rsidRDefault="005B0270" w:rsidP="005B0270"/>
    <w:p w:rsidR="005B0270" w:rsidRDefault="005B0270" w:rsidP="005B0270">
      <w:pPr>
        <w:tabs>
          <w:tab w:val="left" w:pos="3000"/>
        </w:tabs>
      </w:pPr>
      <w:r>
        <w:tab/>
      </w:r>
      <w:bookmarkStart w:id="0" w:name="_GoBack"/>
      <w:bookmarkEnd w:id="0"/>
    </w:p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1" w:name="_Toc428186827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1"/>
    </w:p>
    <w:p w:rsidR="00984EF9" w:rsidRPr="00984EF9" w:rsidRDefault="0058721C" w:rsidP="00984EF9">
      <w:pPr>
        <w:pStyle w:val="berschrift2"/>
      </w:pPr>
      <w:r>
        <w:rPr>
          <w:noProof/>
          <w:lang w:eastAsia="de-DE"/>
        </w:rPr>
        <w:pict>
          <v:shape id="_x0000_s1084" type="#_x0000_t202" style="position:absolute;left:0;text-align:left;margin-left:-.05pt;margin-top:31.45pt;width:462.45pt;height:45.8pt;z-index:251731968;mso-width-relative:margin;mso-height-relative:margin" fillcolor="white [3201]" strokecolor="#4bacc6 [3208]" strokeweight="1pt">
            <v:stroke dashstyle="dash"/>
            <v:shadow color="#868686"/>
            <v:textbox style="mso-next-textbox:#_x0000_s1084">
              <w:txbxContent>
                <w:p w:rsidR="00155B1F" w:rsidRPr="00F31EBF" w:rsidRDefault="00155B1F" w:rsidP="000D10FB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die Nachweisreaktionen von Alkalimetallen durch die spezifische Flammenfä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bung bekannt sein.</w:t>
                  </w:r>
                </w:p>
              </w:txbxContent>
            </v:textbox>
            <w10:wrap type="square"/>
          </v:shape>
        </w:pict>
      </w:r>
      <w:bookmarkStart w:id="2" w:name="_Toc428186828"/>
      <w:r w:rsidR="00984EF9">
        <w:t>V1 –</w:t>
      </w:r>
      <w:r w:rsidR="0035415B">
        <w:t xml:space="preserve"> </w:t>
      </w:r>
      <w:proofErr w:type="spellStart"/>
      <w:r w:rsidR="0035415B">
        <w:t>NaOH</w:t>
      </w:r>
      <w:proofErr w:type="spellEnd"/>
      <w:r w:rsidR="0035415B">
        <w:t xml:space="preserve"> in „</w:t>
      </w:r>
      <w:proofErr w:type="spellStart"/>
      <w:r w:rsidR="0035415B">
        <w:t>Ro</w:t>
      </w:r>
      <w:r w:rsidR="00326D96">
        <w:t>hrfrei</w:t>
      </w:r>
      <w:proofErr w:type="spellEnd"/>
      <w:r w:rsidR="0035415B">
        <w:t>“</w:t>
      </w:r>
      <w:r w:rsidR="00326D96">
        <w:t>-Granulat</w:t>
      </w:r>
      <w:bookmarkEnd w:id="2"/>
    </w:p>
    <w:p w:rsidR="00D76F6F" w:rsidRDefault="00D76F6F" w:rsidP="00F31EBF">
      <w:pPr>
        <w:pStyle w:val="berschrift2"/>
        <w:numPr>
          <w:ilvl w:val="0"/>
          <w:numId w:val="0"/>
        </w:numPr>
      </w:pPr>
      <w:bookmarkStart w:id="3" w:name="_Toc425776595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:rsidTr="00D71F3E">
        <w:tc>
          <w:tcPr>
            <w:tcW w:w="9322" w:type="dxa"/>
            <w:gridSpan w:val="9"/>
            <w:shd w:val="clear" w:color="auto" w:fill="4F81BD"/>
            <w:vAlign w:val="center"/>
          </w:tcPr>
          <w:p w:rsidR="00D76F6F" w:rsidRPr="00F31EBF" w:rsidRDefault="00D76F6F" w:rsidP="00D71F3E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35415B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415B" w:rsidRPr="004B26AC" w:rsidRDefault="00162E1C" w:rsidP="00D76F6F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Salzsäure (c = 1 </w:t>
            </w:r>
            <w:proofErr w:type="spellStart"/>
            <w:r>
              <w:rPr>
                <w:sz w:val="20"/>
              </w:rPr>
              <w:t>mol</w:t>
            </w:r>
            <w:proofErr w:type="spellEnd"/>
            <w:r>
              <w:rPr>
                <w:sz w:val="20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5415B" w:rsidRPr="004B26AC" w:rsidRDefault="0035415B" w:rsidP="00D71F3E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>H:</w:t>
            </w:r>
            <w:r w:rsidR="004B26AC" w:rsidRPr="004B26AC">
              <w:rPr>
                <w:sz w:val="20"/>
              </w:rPr>
              <w:t xml:space="preserve"> 314, 335, 290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5415B" w:rsidRPr="004B26AC" w:rsidRDefault="0035415B" w:rsidP="00326D96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>P:</w:t>
            </w:r>
            <w:r w:rsidR="004B26AC" w:rsidRPr="004B26AC">
              <w:rPr>
                <w:sz w:val="20"/>
              </w:rPr>
              <w:t xml:space="preserve"> 234, 260, 305+351+338, 303+361+353, 304+340, 309+311, 501</w:t>
            </w:r>
          </w:p>
        </w:tc>
      </w:tr>
      <w:tr w:rsidR="00D76F6F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326D96" w:rsidP="00D76F6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Magnesiastäbchen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326D96" w:rsidP="00D71F3E">
            <w:pPr>
              <w:spacing w:after="0"/>
              <w:jc w:val="center"/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326D96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 w:rsidR="00326D96">
              <w:t>-</w:t>
            </w:r>
          </w:p>
        </w:tc>
      </w:tr>
      <w:tr w:rsidR="00326D96" w:rsidRPr="009C5E28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26D96" w:rsidRDefault="00326D96" w:rsidP="00D76F6F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26D96" w:rsidRDefault="00326D96" w:rsidP="00D71F3E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26D96" w:rsidRPr="009C5E28" w:rsidRDefault="00326D96" w:rsidP="00326D9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76F6F" w:rsidRPr="009C5E28" w:rsidTr="00D76F6F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D76F6F" w:rsidRPr="009C5E28" w:rsidRDefault="00326D96" w:rsidP="00D76F6F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Indikator-(</w:t>
            </w:r>
            <w:proofErr w:type="spellStart"/>
            <w:r>
              <w:rPr>
                <w:color w:val="auto"/>
                <w:sz w:val="20"/>
                <w:szCs w:val="20"/>
              </w:rPr>
              <w:t>papier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D76F6F" w:rsidRPr="009C5E28" w:rsidRDefault="00D76F6F" w:rsidP="00326D96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 w:rsidR="00326D96"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D76F6F" w:rsidRPr="009C5E28" w:rsidRDefault="00D76F6F" w:rsidP="00326D96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 w:rsidR="00326D96">
              <w:t>-</w:t>
            </w:r>
          </w:p>
        </w:tc>
      </w:tr>
      <w:tr w:rsidR="00D76F6F" w:rsidRPr="009C5E28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326D96">
        <w:t>Reagenzglas, Gasbrenner, Tiegelzange</w:t>
      </w:r>
    </w:p>
    <w:p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326D96">
        <w:t>Rohrfrei</w:t>
      </w:r>
      <w:proofErr w:type="spellEnd"/>
      <w:r w:rsidR="00326D96">
        <w:t>-Granulat, demineralisiertes Wasser, Magnesiastäbchen</w:t>
      </w:r>
    </w:p>
    <w:p w:rsidR="00994634" w:rsidRDefault="008E1A25" w:rsidP="0095109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951095">
        <w:t xml:space="preserve">Das </w:t>
      </w:r>
      <w:proofErr w:type="spellStart"/>
      <w:r w:rsidR="00951095">
        <w:t>Rohrfrei</w:t>
      </w:r>
      <w:proofErr w:type="spellEnd"/>
      <w:r w:rsidR="00951095">
        <w:t xml:space="preserve">-Granulat wird in Wasser gelöst. Der pH-Wert der Lösung wird mit Indikatorpapier bestimmt. Nach dem Ausglühen im Gasbrenner </w:t>
      </w:r>
      <w:r w:rsidR="0035415B">
        <w:t xml:space="preserve">und tauchen in </w:t>
      </w:r>
      <w:r w:rsidR="00162E1C">
        <w:t>verdünnte Salzsäure</w:t>
      </w:r>
      <w:r w:rsidR="0035415B">
        <w:t xml:space="preserve"> </w:t>
      </w:r>
      <w:r w:rsidR="00951095">
        <w:t xml:space="preserve">wird das Magnesiastäbchen in die </w:t>
      </w:r>
      <w:proofErr w:type="spellStart"/>
      <w:r w:rsidR="0035415B">
        <w:t>Rohrfrei</w:t>
      </w:r>
      <w:proofErr w:type="spellEnd"/>
      <w:r w:rsidR="0035415B">
        <w:t>-</w:t>
      </w:r>
      <w:r w:rsidR="00951095">
        <w:t>Lösung getaucht und anschließend die Flammenfärbung des Gasbrenners betrac</w:t>
      </w:r>
      <w:r w:rsidR="00951095">
        <w:t>h</w:t>
      </w:r>
      <w:r w:rsidR="00951095">
        <w:t>tet.</w:t>
      </w:r>
      <w:r w:rsidR="00B901F6">
        <w:t xml:space="preserve"> </w:t>
      </w:r>
    </w:p>
    <w:p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951095">
        <w:t>Das pH-Papier färbt sich dunkelgrün und die Flamme des Gasbrenners leuchtet orange-gelb.</w:t>
      </w:r>
    </w:p>
    <w:p w:rsidR="00951095" w:rsidRDefault="00B901F6" w:rsidP="0095109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866775" cy="3067050"/>
            <wp:effectExtent l="171450" t="133350" r="371475" b="30480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01F6" w:rsidRDefault="00951095" w:rsidP="00951095">
      <w:pPr>
        <w:pStyle w:val="Beschriftung"/>
        <w:jc w:val="center"/>
      </w:pPr>
      <w:r>
        <w:t xml:space="preserve">Abbildung </w:t>
      </w:r>
      <w:fldSimple w:instr=" SEQ Abbildung \* ARABIC ">
        <w:r w:rsidR="00162E1C">
          <w:rPr>
            <w:noProof/>
          </w:rPr>
          <w:t>1</w:t>
        </w:r>
      </w:fldSimple>
      <w:r>
        <w:t>: Flammenfärbung des Gasbrenners durch Natriumionen.</w:t>
      </w:r>
    </w:p>
    <w:p w:rsidR="00B901F6" w:rsidRDefault="00B901F6" w:rsidP="00A0582F">
      <w:pPr>
        <w:pStyle w:val="Beschriftung"/>
        <w:jc w:val="left"/>
      </w:pPr>
    </w:p>
    <w:p w:rsidR="00715E8B" w:rsidRPr="0035415B" w:rsidRDefault="008E1A25" w:rsidP="00074A34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 w:rsidR="00125CEA">
        <w:tab/>
      </w:r>
      <w:r w:rsidR="0035415B">
        <w:t>Das dunkelgrüne pH-Papier zeigt einen pH-Wert von 12 an. Dies zeigt die Anwesenheit von OH</w:t>
      </w:r>
      <w:r w:rsidR="0035415B">
        <w:rPr>
          <w:vertAlign w:val="superscript"/>
        </w:rPr>
        <w:t>-</w:t>
      </w:r>
      <w:r w:rsidR="0035415B">
        <w:t xml:space="preserve"> </w:t>
      </w:r>
      <w:r w:rsidR="0035415B">
        <w:rPr>
          <w:vertAlign w:val="superscript"/>
        </w:rPr>
        <w:t xml:space="preserve">— </w:t>
      </w:r>
      <w:r w:rsidR="0035415B">
        <w:t>Ionen an. Während die gelb-orangene Flamme</w:t>
      </w:r>
      <w:r w:rsidR="0035415B">
        <w:t>n</w:t>
      </w:r>
      <w:r w:rsidR="0035415B">
        <w:t>färbung ein Nachweis für Natriumionen ist.</w:t>
      </w:r>
    </w:p>
    <w:p w:rsidR="00216E3C" w:rsidRDefault="00216E3C" w:rsidP="00465B61">
      <w:pPr>
        <w:ind w:left="2124" w:hanging="2124"/>
      </w:pPr>
      <w:r>
        <w:t>Entsorgun</w:t>
      </w:r>
      <w:r w:rsidR="00465B61">
        <w:t>g:</w:t>
      </w:r>
      <w:r w:rsidR="00465B61">
        <w:tab/>
        <w:t xml:space="preserve">Die </w:t>
      </w:r>
      <w:proofErr w:type="spellStart"/>
      <w:r w:rsidR="00465B61">
        <w:t>Rohrfrei</w:t>
      </w:r>
      <w:proofErr w:type="spellEnd"/>
      <w:r w:rsidR="00465B61">
        <w:t xml:space="preserve">-Lösung kann in den Ausguss gegeben werden. Die </w:t>
      </w:r>
      <w:proofErr w:type="spellStart"/>
      <w:r w:rsidR="00465B61">
        <w:t>HCl</w:t>
      </w:r>
      <w:proofErr w:type="spellEnd"/>
      <w:r w:rsidR="00465B61">
        <w:t>-Lösung wird im Säure-Base-Behälter und das Indikatorpapier im Fes</w:t>
      </w:r>
      <w:r w:rsidR="00465B61">
        <w:t>t</w:t>
      </w:r>
      <w:r w:rsidR="00465B61">
        <w:t>stoffbehälter entsorgt. Das Magnesiastäbchen kann wieder verwendet werden.</w:t>
      </w:r>
    </w:p>
    <w:p w:rsidR="004B26AC" w:rsidRDefault="00F17765" w:rsidP="004B26AC">
      <w:pPr>
        <w:ind w:left="2124" w:hanging="2124"/>
      </w:pPr>
      <w:r>
        <w:t>Liter</w:t>
      </w:r>
      <w:r w:rsidR="004B26AC">
        <w:t>atur:</w:t>
      </w:r>
      <w:r w:rsidR="004B26AC">
        <w:tab/>
      </w:r>
      <w:r w:rsidR="004B26AC">
        <w:rPr>
          <w:color w:val="auto"/>
        </w:rPr>
        <w:t xml:space="preserve">eqiooki.de, </w:t>
      </w:r>
      <w:r w:rsidR="004B26AC" w:rsidRPr="004B26AC">
        <w:t>http://www.eqiooki.de/chemistry/print/sodium_hydroxide.pdf</w:t>
      </w:r>
      <w:r w:rsidR="004B26AC">
        <w:t>, Jahre</w:t>
      </w:r>
      <w:r w:rsidR="004B26AC">
        <w:t>s</w:t>
      </w:r>
      <w:r w:rsidR="004B26AC">
        <w:t>zahl unbekannt (letzter Aufruf am 09.08.2015 um 21.56 Uhr).</w:t>
      </w:r>
    </w:p>
    <w:p w:rsidR="005B60E3" w:rsidRPr="005B60E3" w:rsidRDefault="005B60E3" w:rsidP="005B60E3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F17765" w:rsidRDefault="00F17765" w:rsidP="00F17765">
      <w:pPr>
        <w:tabs>
          <w:tab w:val="left" w:pos="1701"/>
          <w:tab w:val="left" w:pos="1985"/>
        </w:tabs>
        <w:ind w:left="1980" w:hanging="1980"/>
      </w:pPr>
    </w:p>
    <w:p w:rsidR="006E32AF" w:rsidRDefault="006E32AF" w:rsidP="004B26AC">
      <w:pPr>
        <w:tabs>
          <w:tab w:val="left" w:pos="1701"/>
          <w:tab w:val="left" w:pos="1985"/>
        </w:tabs>
        <w:rPr>
          <w:rFonts w:eastAsiaTheme="minorEastAsia"/>
        </w:rPr>
      </w:pPr>
    </w:p>
    <w:p w:rsidR="00296F3A" w:rsidRPr="006E32AF" w:rsidRDefault="00296F3A" w:rsidP="004B26AC">
      <w:pPr>
        <w:tabs>
          <w:tab w:val="left" w:pos="1701"/>
          <w:tab w:val="left" w:pos="1985"/>
        </w:tabs>
        <w:rPr>
          <w:rFonts w:eastAsiaTheme="minorEastAsia"/>
        </w:rPr>
      </w:pPr>
    </w:p>
    <w:p w:rsidR="00716097" w:rsidRPr="00296F3A" w:rsidRDefault="00984EF9" w:rsidP="00296F3A">
      <w:pPr>
        <w:pStyle w:val="berschrift1"/>
      </w:pPr>
      <w:bookmarkStart w:id="4" w:name="_Toc428186829"/>
      <w:r>
        <w:lastRenderedPageBreak/>
        <w:t xml:space="preserve">Weitere </w:t>
      </w:r>
      <w:r w:rsidR="00994634">
        <w:t>Schülerversuch</w:t>
      </w:r>
      <w:r>
        <w:t>e</w:t>
      </w:r>
      <w:bookmarkEnd w:id="4"/>
    </w:p>
    <w:p w:rsidR="001D6B7B" w:rsidRDefault="00296F3A" w:rsidP="001D6B7B">
      <w:pPr>
        <w:pStyle w:val="berschrift2"/>
      </w:pPr>
      <w:bookmarkStart w:id="5" w:name="_Toc428186830"/>
      <w:r>
        <w:t>V2</w:t>
      </w:r>
      <w:r w:rsidR="001D6B7B">
        <w:t xml:space="preserve"> – Citrat-Nachweis</w:t>
      </w:r>
      <w:bookmarkEnd w:id="5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D6B7B" w:rsidRPr="009C5E28" w:rsidTr="001D6B7B">
        <w:tc>
          <w:tcPr>
            <w:tcW w:w="9322" w:type="dxa"/>
            <w:gridSpan w:val="9"/>
            <w:shd w:val="clear" w:color="auto" w:fill="4F81BD"/>
            <w:vAlign w:val="center"/>
          </w:tcPr>
          <w:p w:rsidR="001D6B7B" w:rsidRPr="00F31EBF" w:rsidRDefault="001D6B7B" w:rsidP="001D6B7B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FB750E" w:rsidRPr="009C5E28" w:rsidTr="001D6B7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750E" w:rsidRDefault="00FB750E" w:rsidP="0071609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Calciumchlorid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750E" w:rsidRPr="00FB750E" w:rsidRDefault="00FB750E" w:rsidP="001D6B7B">
            <w:pPr>
              <w:spacing w:after="0"/>
              <w:jc w:val="center"/>
              <w:rPr>
                <w:sz w:val="20"/>
                <w:szCs w:val="20"/>
              </w:rPr>
            </w:pPr>
            <w:r w:rsidRPr="00FB750E">
              <w:rPr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B750E" w:rsidRPr="00FB750E" w:rsidRDefault="00FB750E" w:rsidP="001D6B7B">
            <w:pPr>
              <w:spacing w:after="0"/>
              <w:jc w:val="center"/>
              <w:rPr>
                <w:sz w:val="20"/>
                <w:szCs w:val="20"/>
              </w:rPr>
            </w:pPr>
            <w:r w:rsidRPr="00FB750E">
              <w:rPr>
                <w:sz w:val="20"/>
                <w:szCs w:val="20"/>
              </w:rPr>
              <w:t>P: 305+351+338</w:t>
            </w:r>
          </w:p>
        </w:tc>
      </w:tr>
      <w:tr w:rsidR="003A26F1" w:rsidRPr="009C5E28" w:rsidTr="001D6B7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6F1" w:rsidRDefault="003A26F1" w:rsidP="0071609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6F1" w:rsidRPr="00716097" w:rsidRDefault="003A26F1" w:rsidP="001D6B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26F1" w:rsidRPr="00716097" w:rsidRDefault="003A26F1" w:rsidP="001D6B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3A26F1" w:rsidRPr="009C5E28" w:rsidTr="001D6B7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6F1" w:rsidRDefault="003A26F1" w:rsidP="0071609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Entkalker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A26F1" w:rsidRPr="00716097" w:rsidRDefault="003A26F1" w:rsidP="001D6B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A26F1" w:rsidRPr="00716097" w:rsidRDefault="003A26F1" w:rsidP="001D6B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FB750E" w:rsidRPr="009C5E28" w:rsidTr="001D6B7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750E" w:rsidRDefault="00FB750E" w:rsidP="00716097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Natriumhydroxid-Lösung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B750E" w:rsidRDefault="00FB750E" w:rsidP="001D6B7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290,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B750E" w:rsidRPr="00FB750E" w:rsidRDefault="00FB750E" w:rsidP="001D6B7B">
            <w:pPr>
              <w:spacing w:after="0"/>
              <w:jc w:val="center"/>
              <w:rPr>
                <w:sz w:val="20"/>
                <w:szCs w:val="20"/>
              </w:rPr>
            </w:pPr>
            <w:r w:rsidRPr="00FB750E">
              <w:rPr>
                <w:sz w:val="20"/>
                <w:szCs w:val="20"/>
              </w:rPr>
              <w:t>P: 280, 301+330+331, 305+351+338, 308+310</w:t>
            </w:r>
          </w:p>
        </w:tc>
      </w:tr>
      <w:tr w:rsidR="00716097" w:rsidRPr="009C5E28" w:rsidTr="001D6B7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097" w:rsidRPr="001D6B7B" w:rsidRDefault="00716097" w:rsidP="0071609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Triammonimcitrat</w:t>
            </w:r>
            <w:proofErr w:type="spellEnd"/>
            <w:r>
              <w:rPr>
                <w:rStyle w:val="Funotenzeichen"/>
                <w:sz w:val="20"/>
              </w:rPr>
              <w:footnoteReference w:id="1"/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16097" w:rsidRPr="00716097" w:rsidRDefault="00716097" w:rsidP="001D6B7B">
            <w:pPr>
              <w:spacing w:after="0"/>
              <w:jc w:val="center"/>
              <w:rPr>
                <w:sz w:val="20"/>
                <w:szCs w:val="20"/>
              </w:rPr>
            </w:pPr>
            <w:r w:rsidRPr="00716097">
              <w:rPr>
                <w:sz w:val="20"/>
                <w:szCs w:val="20"/>
              </w:rPr>
              <w:t>H: 315, 319,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16097" w:rsidRPr="00716097" w:rsidRDefault="00716097" w:rsidP="001D6B7B">
            <w:pPr>
              <w:spacing w:after="0"/>
              <w:jc w:val="center"/>
              <w:rPr>
                <w:sz w:val="20"/>
                <w:szCs w:val="20"/>
              </w:rPr>
            </w:pPr>
            <w:r w:rsidRPr="00716097">
              <w:rPr>
                <w:sz w:val="20"/>
                <w:szCs w:val="20"/>
              </w:rPr>
              <w:t>P: 261, 305+351+338</w:t>
            </w:r>
          </w:p>
        </w:tc>
      </w:tr>
      <w:tr w:rsidR="001D6B7B" w:rsidRPr="009C5E28" w:rsidTr="001D6B7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1D6B7B" w:rsidRDefault="001D6B7B" w:rsidP="001D6B7B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Zitronensaft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1D6B7B" w:rsidRDefault="001D6B7B" w:rsidP="001D6B7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D6B7B" w:rsidRPr="001D6B7B" w:rsidRDefault="001D6B7B" w:rsidP="001D6B7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1D6B7B" w:rsidRPr="009C5E28" w:rsidTr="001D6B7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3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D6B7B" w:rsidRPr="009C5E28" w:rsidRDefault="001D6B7B" w:rsidP="001D6B7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B7B" w:rsidRDefault="001D6B7B" w:rsidP="001D6B7B">
      <w:pPr>
        <w:tabs>
          <w:tab w:val="left" w:pos="1701"/>
          <w:tab w:val="left" w:pos="1985"/>
        </w:tabs>
        <w:ind w:left="1980" w:hanging="1980"/>
      </w:pPr>
    </w:p>
    <w:p w:rsidR="001D6B7B" w:rsidRDefault="003A26F1" w:rsidP="003A26F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</w:t>
      </w:r>
      <w:r w:rsidR="001D6B7B">
        <w:t>s</w:t>
      </w:r>
      <w:r>
        <w:t>er</w:t>
      </w:r>
      <w:r w:rsidR="001D6B7B">
        <w:t>, Reagenzglashalter,</w:t>
      </w:r>
      <w:r>
        <w:t xml:space="preserve"> Reagenzglasständer, Gasbrenner,</w:t>
      </w:r>
      <w:r w:rsidR="001D6B7B">
        <w:t xml:space="preserve"> Spatel</w:t>
      </w:r>
      <w:r w:rsidR="00FB750E">
        <w:t>, pH-Papier/Rotkohlsaft</w:t>
      </w:r>
    </w:p>
    <w:p w:rsidR="001D6B7B" w:rsidRPr="00FB750E" w:rsidRDefault="001D6B7B" w:rsidP="003A26F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3A26F1">
        <w:t xml:space="preserve">Demineralisiertes Wasser, </w:t>
      </w:r>
      <w:proofErr w:type="spellStart"/>
      <w:r w:rsidR="003A26F1">
        <w:t>Entkalker</w:t>
      </w:r>
      <w:proofErr w:type="spellEnd"/>
      <w:r w:rsidR="003A26F1">
        <w:t>, Ammoniumcitrat, Zitronensaft</w:t>
      </w:r>
      <w:r w:rsidR="00FB750E">
        <w:t>, Na</w:t>
      </w:r>
      <w:r w:rsidR="00FB750E">
        <w:t>t</w:t>
      </w:r>
      <w:r w:rsidR="00FB750E">
        <w:t>riumhydroxid-Lösung (</w:t>
      </w:r>
      <w:proofErr w:type="spellStart"/>
      <w:r w:rsidR="00FB750E">
        <w:t>NaOH</w:t>
      </w:r>
      <w:proofErr w:type="spellEnd"/>
      <w:r w:rsidR="00FB750E">
        <w:t xml:space="preserve">-Lösung), </w:t>
      </w:r>
      <w:proofErr w:type="spellStart"/>
      <w:r w:rsidR="00FB750E">
        <w:t>Calciumchlorid</w:t>
      </w:r>
      <w:proofErr w:type="spellEnd"/>
      <w:r w:rsidR="00FB750E">
        <w:t>- Lösung (CaCl</w:t>
      </w:r>
      <w:r w:rsidR="00FB750E">
        <w:rPr>
          <w:vertAlign w:val="subscript"/>
        </w:rPr>
        <w:t>2</w:t>
      </w:r>
      <w:r w:rsidR="00FB750E">
        <w:t>-Lösung)</w:t>
      </w:r>
    </w:p>
    <w:p w:rsidR="003A26F1" w:rsidRPr="00FB750E" w:rsidRDefault="001D6B7B" w:rsidP="00FB750E">
      <w:pPr>
        <w:tabs>
          <w:tab w:val="left" w:pos="1701"/>
          <w:tab w:val="left" w:pos="1985"/>
          <w:tab w:val="left" w:pos="2820"/>
        </w:tabs>
        <w:ind w:left="1980" w:hanging="1980"/>
      </w:pPr>
      <w:r>
        <w:t xml:space="preserve">Durchführung: </w:t>
      </w:r>
      <w:r>
        <w:tab/>
      </w:r>
      <w:r>
        <w:tab/>
      </w:r>
      <w:r w:rsidR="00FB750E">
        <w:tab/>
        <w:t xml:space="preserve">Der </w:t>
      </w:r>
      <w:proofErr w:type="spellStart"/>
      <w:r w:rsidR="00FB750E">
        <w:t>Entkalker</w:t>
      </w:r>
      <w:proofErr w:type="spellEnd"/>
      <w:r w:rsidR="00FB750E">
        <w:t xml:space="preserve"> und das Ammoniumcitrat werden in </w:t>
      </w:r>
      <w:proofErr w:type="spellStart"/>
      <w:r w:rsidR="00FB750E">
        <w:t>demin</w:t>
      </w:r>
      <w:proofErr w:type="spellEnd"/>
      <w:r w:rsidR="00FB750E">
        <w:t>. Wasser in j</w:t>
      </w:r>
      <w:r w:rsidR="00FB750E">
        <w:t>e</w:t>
      </w:r>
      <w:r w:rsidR="00FB750E">
        <w:t xml:space="preserve">weils einem Reagenzglas gelöst und der Zitronensaft wird im Reagenzglas etwas verdünnt. Die noch sauren Lösungen werden mit </w:t>
      </w:r>
      <w:proofErr w:type="spellStart"/>
      <w:r w:rsidR="00FB750E">
        <w:t>NaOH</w:t>
      </w:r>
      <w:proofErr w:type="spellEnd"/>
      <w:r w:rsidR="00FB750E">
        <w:t>-Lösung ne</w:t>
      </w:r>
      <w:r w:rsidR="00FB750E">
        <w:t>u</w:t>
      </w:r>
      <w:r w:rsidR="00FB750E">
        <w:t xml:space="preserve">tralisiert. Die Neutralisation wird mit Hilfe eines geeigneten Indikators überprüft. </w:t>
      </w:r>
      <w:r w:rsidR="00FC45C0">
        <w:t xml:space="preserve">In ein viertes Reagenzglas wird </w:t>
      </w:r>
      <w:proofErr w:type="spellStart"/>
      <w:r w:rsidR="00FC45C0">
        <w:t>demin</w:t>
      </w:r>
      <w:proofErr w:type="spellEnd"/>
      <w:r w:rsidR="00FC45C0">
        <w:t xml:space="preserve">. Wasser gegeben. </w:t>
      </w:r>
      <w:r w:rsidR="00FB750E">
        <w:t>A</w:t>
      </w:r>
      <w:r w:rsidR="00FB750E">
        <w:t>n</w:t>
      </w:r>
      <w:r w:rsidR="00FB750E">
        <w:t xml:space="preserve">schließend werden 10 </w:t>
      </w:r>
      <w:proofErr w:type="spellStart"/>
      <w:r w:rsidR="00FB750E">
        <w:t>mL</w:t>
      </w:r>
      <w:proofErr w:type="spellEnd"/>
      <w:r w:rsidR="00FB750E">
        <w:t xml:space="preserve"> der CaCl</w:t>
      </w:r>
      <w:r w:rsidR="00FB750E">
        <w:rPr>
          <w:vertAlign w:val="subscript"/>
        </w:rPr>
        <w:t>2</w:t>
      </w:r>
      <w:r w:rsidR="00FB750E">
        <w:t>-Lösung zu jeder Lösung hinzugegeben und diese in der Gasbrennerflamme erhitzt.</w:t>
      </w:r>
    </w:p>
    <w:p w:rsidR="001D6B7B" w:rsidRDefault="001D6B7B" w:rsidP="00FC45C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FC45C0">
        <w:t xml:space="preserve">In den Lösungen fällt ein weißer Feststoff aus, außer in der Lösung mit </w:t>
      </w:r>
      <w:proofErr w:type="spellStart"/>
      <w:r w:rsidR="00FC45C0">
        <w:t>demin</w:t>
      </w:r>
      <w:proofErr w:type="spellEnd"/>
      <w:r w:rsidR="00FC45C0">
        <w:t>. Wasser und CaCl</w:t>
      </w:r>
      <w:r w:rsidR="00FC45C0">
        <w:rPr>
          <w:vertAlign w:val="subscript"/>
        </w:rPr>
        <w:t>2</w:t>
      </w:r>
      <w:r w:rsidR="00FC45C0">
        <w:t>.</w:t>
      </w:r>
    </w:p>
    <w:p w:rsidR="001D6B7B" w:rsidRDefault="00FC45C0" w:rsidP="001D6B7B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127000</wp:posOffset>
            </wp:positionV>
            <wp:extent cx="1040130" cy="2343150"/>
            <wp:effectExtent l="171450" t="133350" r="369570" b="304800"/>
            <wp:wrapTight wrapText="bothSides">
              <wp:wrapPolygon edited="0">
                <wp:start x="4352" y="-1229"/>
                <wp:lineTo x="1187" y="-1054"/>
                <wp:lineTo x="-3560" y="527"/>
                <wp:lineTo x="-3560" y="21249"/>
                <wp:lineTo x="-791" y="24059"/>
                <wp:lineTo x="2374" y="24410"/>
                <wp:lineTo x="23341" y="24410"/>
                <wp:lineTo x="23736" y="24410"/>
                <wp:lineTo x="25714" y="24059"/>
                <wp:lineTo x="26505" y="24059"/>
                <wp:lineTo x="28879" y="21776"/>
                <wp:lineTo x="28879" y="1580"/>
                <wp:lineTo x="29275" y="702"/>
                <wp:lineTo x="24527" y="-1054"/>
                <wp:lineTo x="21363" y="-1229"/>
                <wp:lineTo x="4352" y="-1229"/>
              </wp:wrapPolygon>
            </wp:wrapTight>
            <wp:docPr id="33" name="Grafik 32" descr="IMAG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719.jpg"/>
                    <pic:cNvPicPr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D6B7B">
        <w:rPr>
          <w:noProof/>
          <w:lang w:eastAsia="de-DE"/>
        </w:rPr>
        <w:drawing>
          <wp:inline distT="0" distB="0" distL="0" distR="0">
            <wp:extent cx="1050612" cy="2340000"/>
            <wp:effectExtent l="171450" t="133350" r="359088" b="307950"/>
            <wp:docPr id="3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2340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6B7B" w:rsidRPr="00FC45C0" w:rsidRDefault="001D6B7B" w:rsidP="001D6B7B">
      <w:pPr>
        <w:pStyle w:val="Beschriftung"/>
        <w:jc w:val="center"/>
      </w:pPr>
      <w:r>
        <w:t xml:space="preserve">Abbildung </w:t>
      </w:r>
      <w:fldSimple w:instr=" SEQ Abbildung \* ARABIC ">
        <w:r w:rsidR="00162E1C">
          <w:rPr>
            <w:noProof/>
          </w:rPr>
          <w:t>2</w:t>
        </w:r>
      </w:fldSimple>
      <w:r>
        <w:t xml:space="preserve">: </w:t>
      </w:r>
      <w:proofErr w:type="spellStart"/>
      <w:r w:rsidR="00FC45C0">
        <w:t>Entkalker</w:t>
      </w:r>
      <w:proofErr w:type="spellEnd"/>
      <w:r w:rsidR="00FC45C0">
        <w:t xml:space="preserve"> und Ammoniumcitrat nach Zugabe von CaCl</w:t>
      </w:r>
      <w:r w:rsidR="00FC45C0">
        <w:rPr>
          <w:vertAlign w:val="subscript"/>
        </w:rPr>
        <w:t>2</w:t>
      </w:r>
      <w:r w:rsidR="00FC45C0">
        <w:t xml:space="preserve"> und erhitzen (links) und Zitronensaft vor und nach Zugabe von CaCl</w:t>
      </w:r>
      <w:r w:rsidR="00FC45C0">
        <w:rPr>
          <w:vertAlign w:val="subscript"/>
        </w:rPr>
        <w:t>2</w:t>
      </w:r>
      <w:r w:rsidR="00FC45C0">
        <w:t xml:space="preserve"> und Erhitzen (rechts).</w:t>
      </w:r>
    </w:p>
    <w:p w:rsidR="001D6B7B" w:rsidRDefault="001D6B7B" w:rsidP="001D6B7B">
      <w:pPr>
        <w:pStyle w:val="Beschriftung"/>
        <w:jc w:val="left"/>
      </w:pPr>
    </w:p>
    <w:p w:rsidR="00FC45C0" w:rsidRDefault="001D6B7B" w:rsidP="001D6B7B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</w:r>
      <w:r w:rsidR="00BB42A9">
        <w:t xml:space="preserve">Das Ammoniumcitrat dient als positive Blindprobe, das </w:t>
      </w:r>
      <w:proofErr w:type="spellStart"/>
      <w:r w:rsidR="00BB42A9">
        <w:t>demin</w:t>
      </w:r>
      <w:proofErr w:type="spellEnd"/>
      <w:r w:rsidR="00BB42A9">
        <w:t xml:space="preserve">. Wasser als negative. Bei den Proben </w:t>
      </w:r>
      <w:proofErr w:type="spellStart"/>
      <w:r w:rsidR="00BB42A9">
        <w:t>Entkalker</w:t>
      </w:r>
      <w:proofErr w:type="spellEnd"/>
      <w:r w:rsidR="00BB42A9">
        <w:t xml:space="preserve"> und Zitronensaft fällt wie bei der pos</w:t>
      </w:r>
      <w:r w:rsidR="00BB42A9">
        <w:t>i</w:t>
      </w:r>
      <w:r w:rsidR="00BB42A9">
        <w:t xml:space="preserve">tiven Blindprobe ein weißer Feststoff aus, </w:t>
      </w:r>
      <w:proofErr w:type="spellStart"/>
      <w:r w:rsidR="00BB42A9">
        <w:t>Calciumcitrat</w:t>
      </w:r>
      <w:proofErr w:type="spellEnd"/>
      <w:r w:rsidR="00BB42A9">
        <w:t>.</w:t>
      </w:r>
    </w:p>
    <w:p w:rsidR="00BB42A9" w:rsidRDefault="00BB42A9" w:rsidP="001D6B7B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Die Reaktionsgleichung lautet:</w:t>
      </w:r>
    </w:p>
    <w:p w:rsidR="004B26AC" w:rsidRDefault="00BB42A9" w:rsidP="00BB42A9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 w:rsidR="004B26AC" w:rsidRPr="00BB42A9">
        <w:t>Ca</w:t>
      </w:r>
      <w:r w:rsidR="004B26AC" w:rsidRPr="00BB42A9">
        <w:rPr>
          <w:vertAlign w:val="superscript"/>
        </w:rPr>
        <w:t>2+</w:t>
      </w:r>
      <w:r w:rsidR="004B26AC" w:rsidRPr="00BB42A9">
        <w:rPr>
          <w:vertAlign w:val="subscript"/>
        </w:rPr>
        <w:t>(</w:t>
      </w:r>
      <w:proofErr w:type="spellStart"/>
      <w:r w:rsidR="004B26AC" w:rsidRPr="00BB42A9">
        <w:rPr>
          <w:vertAlign w:val="subscript"/>
        </w:rPr>
        <w:t>aq</w:t>
      </w:r>
      <w:proofErr w:type="spellEnd"/>
      <w:r w:rsidR="004B26AC" w:rsidRPr="00BB42A9">
        <w:rPr>
          <w:vertAlign w:val="subscript"/>
        </w:rPr>
        <w:t xml:space="preserve">) </w:t>
      </w:r>
      <w:r w:rsidR="004B26AC" w:rsidRPr="00BB42A9">
        <w:t>+ 2 Cit</w:t>
      </w:r>
      <w:r w:rsidR="004B26AC" w:rsidRPr="00BB42A9">
        <w:rPr>
          <w:vertAlign w:val="superscript"/>
        </w:rPr>
        <w:t>3-</w:t>
      </w:r>
      <w:r w:rsidR="004B26AC" w:rsidRPr="00BB42A9">
        <w:rPr>
          <w:vertAlign w:val="subscript"/>
        </w:rPr>
        <w:t>(</w:t>
      </w:r>
      <w:proofErr w:type="spellStart"/>
      <w:r w:rsidR="004B26AC" w:rsidRPr="00BB42A9">
        <w:rPr>
          <w:vertAlign w:val="subscript"/>
        </w:rPr>
        <w:t>aq</w:t>
      </w:r>
      <w:proofErr w:type="spellEnd"/>
      <w:r w:rsidR="004B26AC" w:rsidRPr="00BB42A9">
        <w:rPr>
          <w:vertAlign w:val="subscript"/>
        </w:rPr>
        <w:t xml:space="preserve">) </w:t>
      </w:r>
      <w:r w:rsidR="004B26AC" w:rsidRPr="00BB42A9">
        <w:sym w:font="Wingdings" w:char="00E0"/>
      </w:r>
      <w:r w:rsidR="004B26AC" w:rsidRPr="00BB42A9">
        <w:t xml:space="preserve"> [</w:t>
      </w:r>
      <w:proofErr w:type="spellStart"/>
      <w:r w:rsidR="004B26AC" w:rsidRPr="00BB42A9">
        <w:t>Ca</w:t>
      </w:r>
      <w:proofErr w:type="spellEnd"/>
      <w:r w:rsidR="004B26AC" w:rsidRPr="00BB42A9">
        <w:t>(</w:t>
      </w:r>
      <w:proofErr w:type="spellStart"/>
      <w:r w:rsidR="004B26AC" w:rsidRPr="00BB42A9">
        <w:t>Cit</w:t>
      </w:r>
      <w:proofErr w:type="spellEnd"/>
      <w:r w:rsidR="004B26AC" w:rsidRPr="00BB42A9">
        <w:t>)</w:t>
      </w:r>
      <w:r w:rsidR="004B26AC" w:rsidRPr="005B6DC5">
        <w:rPr>
          <w:vertAlign w:val="subscript"/>
        </w:rPr>
        <w:t>2</w:t>
      </w:r>
      <w:r w:rsidR="004B26AC" w:rsidRPr="00BB42A9">
        <w:t>]</w:t>
      </w:r>
      <w:r w:rsidR="004B26AC" w:rsidRPr="00BB42A9">
        <w:rPr>
          <w:vertAlign w:val="superscript"/>
        </w:rPr>
        <w:t>4-</w:t>
      </w:r>
      <w:r w:rsidR="004B26AC" w:rsidRPr="00BB42A9">
        <w:rPr>
          <w:vertAlign w:val="subscript"/>
        </w:rPr>
        <w:t>(</w:t>
      </w:r>
      <w:proofErr w:type="spellStart"/>
      <w:r w:rsidR="004B26AC" w:rsidRPr="00BB42A9">
        <w:rPr>
          <w:vertAlign w:val="subscript"/>
        </w:rPr>
        <w:t>aq</w:t>
      </w:r>
      <w:proofErr w:type="spellEnd"/>
      <w:r w:rsidR="004B26AC" w:rsidRPr="00BB42A9">
        <w:rPr>
          <w:vertAlign w:val="subscript"/>
        </w:rPr>
        <w:t>)</w:t>
      </w:r>
      <w:r w:rsidR="004B26AC" w:rsidRPr="00BB42A9">
        <w:t xml:space="preserve"> </w:t>
      </w:r>
    </w:p>
    <w:p w:rsidR="004B26AC" w:rsidRPr="00BB42A9" w:rsidRDefault="00BB42A9" w:rsidP="00BB42A9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 w:rsidR="004B26AC" w:rsidRPr="00BB42A9">
        <w:t xml:space="preserve">Zugabe von </w:t>
      </w:r>
      <w:proofErr w:type="spellStart"/>
      <w:r w:rsidR="005B6DC5">
        <w:t>Calciumchlorid</w:t>
      </w:r>
      <w:proofErr w:type="spellEnd"/>
      <w:r w:rsidR="005B6DC5">
        <w:t>-Lösung (</w:t>
      </w:r>
      <w:r w:rsidR="004B26AC" w:rsidRPr="00BB42A9">
        <w:t>CaCl</w:t>
      </w:r>
      <w:r w:rsidR="004B26AC" w:rsidRPr="00BB42A9">
        <w:rPr>
          <w:vertAlign w:val="subscript"/>
        </w:rPr>
        <w:t>2</w:t>
      </w:r>
      <w:r w:rsidR="004B26AC" w:rsidRPr="00BB42A9">
        <w:t>-Lösung</w:t>
      </w:r>
      <w:r w:rsidR="005B6DC5">
        <w:t>)</w:t>
      </w:r>
      <w:r>
        <w:t>:</w:t>
      </w:r>
    </w:p>
    <w:p w:rsidR="001D6B7B" w:rsidRPr="00BB42A9" w:rsidRDefault="00BB42A9" w:rsidP="00BB42A9">
      <w:pPr>
        <w:tabs>
          <w:tab w:val="left" w:pos="1701"/>
          <w:tab w:val="left" w:pos="1985"/>
        </w:tabs>
      </w:pPr>
      <w:r>
        <w:tab/>
      </w:r>
      <w:r>
        <w:tab/>
      </w:r>
      <w:r>
        <w:tab/>
      </w:r>
      <w:r w:rsidRPr="00BB42A9">
        <w:t>[</w:t>
      </w:r>
      <w:proofErr w:type="spellStart"/>
      <w:r w:rsidRPr="00BB42A9">
        <w:t>Ca</w:t>
      </w:r>
      <w:proofErr w:type="spellEnd"/>
      <w:r w:rsidRPr="00BB42A9">
        <w:t>(</w:t>
      </w:r>
      <w:proofErr w:type="spellStart"/>
      <w:r w:rsidRPr="00BB42A9">
        <w:t>Cit</w:t>
      </w:r>
      <w:proofErr w:type="spellEnd"/>
      <w:r w:rsidRPr="00BB42A9">
        <w:t>)</w:t>
      </w:r>
      <w:r w:rsidRPr="00BB42A9">
        <w:rPr>
          <w:vertAlign w:val="subscript"/>
        </w:rPr>
        <w:t>2</w:t>
      </w:r>
      <w:r w:rsidRPr="00BB42A9">
        <w:t>]</w:t>
      </w:r>
      <w:r w:rsidRPr="00BB42A9">
        <w:rPr>
          <w:vertAlign w:val="superscript"/>
        </w:rPr>
        <w:t>4-</w:t>
      </w:r>
      <w:r w:rsidRPr="00BB42A9">
        <w:rPr>
          <w:vertAlign w:val="subscript"/>
        </w:rPr>
        <w:t>(</w:t>
      </w:r>
      <w:proofErr w:type="spellStart"/>
      <w:r w:rsidRPr="00BB42A9">
        <w:rPr>
          <w:vertAlign w:val="subscript"/>
        </w:rPr>
        <w:t>aq</w:t>
      </w:r>
      <w:proofErr w:type="spellEnd"/>
      <w:r w:rsidRPr="00BB42A9">
        <w:rPr>
          <w:vertAlign w:val="subscript"/>
        </w:rPr>
        <w:t>)</w:t>
      </w:r>
      <w:r w:rsidRPr="00BB42A9">
        <w:t xml:space="preserve"> + 2 Ca</w:t>
      </w:r>
      <w:r w:rsidRPr="00BB42A9">
        <w:rPr>
          <w:vertAlign w:val="superscript"/>
        </w:rPr>
        <w:t>2+</w:t>
      </w:r>
      <w:r w:rsidRPr="00BB42A9">
        <w:rPr>
          <w:vertAlign w:val="subscript"/>
        </w:rPr>
        <w:t>(</w:t>
      </w:r>
      <w:proofErr w:type="spellStart"/>
      <w:r w:rsidRPr="00BB42A9">
        <w:rPr>
          <w:vertAlign w:val="subscript"/>
        </w:rPr>
        <w:t>aq</w:t>
      </w:r>
      <w:proofErr w:type="spellEnd"/>
      <w:r w:rsidRPr="00BB42A9">
        <w:rPr>
          <w:vertAlign w:val="subscript"/>
        </w:rPr>
        <w:t xml:space="preserve">) </w:t>
      </w:r>
      <w:r w:rsidRPr="00BB42A9">
        <w:sym w:font="Wingdings" w:char="00E0"/>
      </w:r>
      <w:r w:rsidRPr="00BB42A9">
        <w:t xml:space="preserve"> Ca</w:t>
      </w:r>
      <w:r w:rsidRPr="00BB42A9">
        <w:rPr>
          <w:vertAlign w:val="subscript"/>
        </w:rPr>
        <w:t>3</w:t>
      </w:r>
      <w:r w:rsidRPr="00BB42A9">
        <w:t>(</w:t>
      </w:r>
      <w:proofErr w:type="spellStart"/>
      <w:r w:rsidRPr="00BB42A9">
        <w:t>Cit</w:t>
      </w:r>
      <w:proofErr w:type="spellEnd"/>
      <w:r w:rsidRPr="00BB42A9">
        <w:t>)</w:t>
      </w:r>
      <w:r w:rsidRPr="00BB42A9">
        <w:rPr>
          <w:vertAlign w:val="subscript"/>
        </w:rPr>
        <w:t>2(s)</w:t>
      </w:r>
      <w:r w:rsidRPr="00BB42A9">
        <w:t xml:space="preserve"> </w:t>
      </w:r>
      <w:r w:rsidR="001D6B7B">
        <w:rPr>
          <w:rFonts w:asciiTheme="majorHAnsi" w:hAnsiTheme="majorHAnsi"/>
          <w:sz w:val="24"/>
        </w:rPr>
        <w:t xml:space="preserve"> </w:t>
      </w:r>
    </w:p>
    <w:p w:rsidR="001D6B7B" w:rsidRPr="001D6B7B" w:rsidRDefault="001D6B7B" w:rsidP="001D6B7B">
      <w:pPr>
        <w:ind w:left="2124" w:hanging="2124"/>
        <w:rPr>
          <w:rFonts w:asciiTheme="majorHAnsi" w:hAnsiTheme="majorHAnsi"/>
        </w:rPr>
      </w:pPr>
      <w:r w:rsidRPr="001D6B7B">
        <w:rPr>
          <w:rFonts w:asciiTheme="majorHAnsi" w:hAnsiTheme="majorHAnsi"/>
        </w:rPr>
        <w:t>Entsorgung:</w:t>
      </w:r>
      <w:r w:rsidRPr="001D6B7B">
        <w:rPr>
          <w:rFonts w:asciiTheme="majorHAnsi" w:hAnsiTheme="majorHAnsi"/>
        </w:rPr>
        <w:tab/>
      </w:r>
      <w:r w:rsidR="00BB42A9">
        <w:rPr>
          <w:rFonts w:asciiTheme="majorHAnsi" w:hAnsiTheme="majorHAnsi"/>
        </w:rPr>
        <w:t>Die Lösungen werden in einem Becherglas auf dem Lehrerpult gesammelt und dann im Säure-Base-Abfall entsorgt.</w:t>
      </w:r>
    </w:p>
    <w:p w:rsidR="001D6B7B" w:rsidRDefault="001D6B7B" w:rsidP="00BB42A9">
      <w:pPr>
        <w:ind w:left="2124" w:hanging="2124"/>
        <w:jc w:val="left"/>
        <w:rPr>
          <w:color w:val="auto"/>
        </w:rPr>
      </w:pPr>
      <w:r>
        <w:t>Literatur:</w:t>
      </w:r>
      <w:r>
        <w:tab/>
      </w:r>
      <w:r w:rsidR="00BB42A9">
        <w:t xml:space="preserve">ähnlich zu: </w:t>
      </w:r>
      <w:r>
        <w:rPr>
          <w:color w:val="auto"/>
        </w:rPr>
        <w:t xml:space="preserve">D. </w:t>
      </w:r>
      <w:proofErr w:type="spellStart"/>
      <w:r>
        <w:rPr>
          <w:color w:val="auto"/>
        </w:rPr>
        <w:t>Wiechoczek</w:t>
      </w:r>
      <w:proofErr w:type="spellEnd"/>
      <w:r>
        <w:rPr>
          <w:color w:val="auto"/>
        </w:rPr>
        <w:t xml:space="preserve">, </w:t>
      </w:r>
      <w:r w:rsidR="00BB42A9" w:rsidRPr="00BB42A9">
        <w:rPr>
          <w:color w:val="auto"/>
        </w:rPr>
        <w:t>http://www.chemieunterricht.de/dc2/citrone/c_v18b.htm</w:t>
      </w:r>
      <w:r w:rsidR="00BB42A9">
        <w:rPr>
          <w:color w:val="auto"/>
        </w:rPr>
        <w:t>, 11.05</w:t>
      </w:r>
      <w:r>
        <w:rPr>
          <w:color w:val="auto"/>
        </w:rPr>
        <w:t>.2010 (letz</w:t>
      </w:r>
      <w:r w:rsidR="00BB42A9">
        <w:rPr>
          <w:color w:val="auto"/>
        </w:rPr>
        <w:t>ter Aufruf am 10.08.2015 um 20.28</w:t>
      </w:r>
      <w:r>
        <w:rPr>
          <w:color w:val="auto"/>
        </w:rPr>
        <w:t xml:space="preserve"> Uhr).</w:t>
      </w:r>
    </w:p>
    <w:p w:rsidR="001D6B7B" w:rsidRDefault="0058721C" w:rsidP="001D6B7B">
      <w:pPr>
        <w:ind w:left="2124" w:hanging="2124"/>
      </w:pPr>
      <w:r>
        <w:pict>
          <v:shape id="_x0000_s1164" type="#_x0000_t202" style="width:462.45pt;height:80.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4">
              <w:txbxContent>
                <w:p w:rsidR="00155B1F" w:rsidRDefault="00155B1F" w:rsidP="00175B2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Als didaktische Reduktion für die neunte und zehnte Klasse kann anstelle der Komple</w:t>
                  </w:r>
                  <w:r>
                    <w:rPr>
                      <w:color w:val="auto"/>
                    </w:rPr>
                    <w:t>x</w:t>
                  </w:r>
                  <w:r>
                    <w:rPr>
                      <w:color w:val="auto"/>
                    </w:rPr>
                    <w:t>schreibweise folgende Reaktionsgleichung verwendet werden:</w:t>
                  </w:r>
                </w:p>
                <w:p w:rsidR="00155B1F" w:rsidRPr="00F31EBF" w:rsidRDefault="003756C4" w:rsidP="00175B2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  <w:r w:rsidR="00155B1F" w:rsidRPr="00175B26">
                    <w:rPr>
                      <w:color w:val="auto"/>
                    </w:rPr>
                    <w:t xml:space="preserve"> Cit</w:t>
                  </w:r>
                  <w:r w:rsidR="00155B1F" w:rsidRPr="00175B26">
                    <w:rPr>
                      <w:color w:val="auto"/>
                      <w:vertAlign w:val="superscript"/>
                    </w:rPr>
                    <w:t>3-</w:t>
                  </w:r>
                  <w:r w:rsidR="00155B1F" w:rsidRPr="00175B26">
                    <w:rPr>
                      <w:color w:val="auto"/>
                      <w:vertAlign w:val="subscript"/>
                    </w:rPr>
                    <w:t>(</w:t>
                  </w:r>
                  <w:proofErr w:type="spellStart"/>
                  <w:r w:rsidR="00155B1F" w:rsidRPr="00175B26">
                    <w:rPr>
                      <w:color w:val="auto"/>
                      <w:vertAlign w:val="subscript"/>
                    </w:rPr>
                    <w:t>aq</w:t>
                  </w:r>
                  <w:proofErr w:type="spellEnd"/>
                  <w:r w:rsidR="00155B1F" w:rsidRPr="00175B26">
                    <w:rPr>
                      <w:color w:val="auto"/>
                      <w:vertAlign w:val="subscript"/>
                    </w:rPr>
                    <w:t xml:space="preserve">) </w:t>
                  </w:r>
                  <w:r>
                    <w:rPr>
                      <w:color w:val="auto"/>
                    </w:rPr>
                    <w:t>+ 3</w:t>
                  </w:r>
                  <w:r w:rsidR="00155B1F" w:rsidRPr="00175B26">
                    <w:rPr>
                      <w:color w:val="auto"/>
                    </w:rPr>
                    <w:t xml:space="preserve"> Ca</w:t>
                  </w:r>
                  <w:r w:rsidR="00155B1F" w:rsidRPr="00175B26">
                    <w:rPr>
                      <w:color w:val="auto"/>
                      <w:vertAlign w:val="superscript"/>
                    </w:rPr>
                    <w:t>2+</w:t>
                  </w:r>
                  <w:r w:rsidR="00155B1F" w:rsidRPr="00175B26">
                    <w:rPr>
                      <w:color w:val="auto"/>
                      <w:vertAlign w:val="subscript"/>
                    </w:rPr>
                    <w:t>(</w:t>
                  </w:r>
                  <w:proofErr w:type="spellStart"/>
                  <w:r w:rsidR="00155B1F" w:rsidRPr="00175B26">
                    <w:rPr>
                      <w:color w:val="auto"/>
                      <w:vertAlign w:val="subscript"/>
                    </w:rPr>
                    <w:t>aq</w:t>
                  </w:r>
                  <w:proofErr w:type="spellEnd"/>
                  <w:r w:rsidR="00155B1F" w:rsidRPr="00175B26">
                    <w:rPr>
                      <w:color w:val="auto"/>
                      <w:vertAlign w:val="subscript"/>
                    </w:rPr>
                    <w:t xml:space="preserve">) </w:t>
                  </w:r>
                  <w:r w:rsidR="00155B1F" w:rsidRPr="00175B26">
                    <w:rPr>
                      <w:color w:val="auto"/>
                    </w:rPr>
                    <w:sym w:font="Wingdings" w:char="00E0"/>
                  </w:r>
                  <w:r w:rsidR="00155B1F" w:rsidRPr="00175B26">
                    <w:rPr>
                      <w:color w:val="auto"/>
                    </w:rPr>
                    <w:t xml:space="preserve"> Ca</w:t>
                  </w:r>
                  <w:r w:rsidR="00155B1F" w:rsidRPr="00175B26">
                    <w:rPr>
                      <w:color w:val="auto"/>
                      <w:vertAlign w:val="subscript"/>
                    </w:rPr>
                    <w:t>3</w:t>
                  </w:r>
                  <w:r w:rsidR="00155B1F" w:rsidRPr="00175B26">
                    <w:rPr>
                      <w:color w:val="auto"/>
                    </w:rPr>
                    <w:t>(</w:t>
                  </w:r>
                  <w:proofErr w:type="spellStart"/>
                  <w:r w:rsidR="00155B1F" w:rsidRPr="00175B26">
                    <w:rPr>
                      <w:color w:val="auto"/>
                    </w:rPr>
                    <w:t>Cit</w:t>
                  </w:r>
                  <w:proofErr w:type="spellEnd"/>
                  <w:r w:rsidR="00155B1F" w:rsidRPr="00175B26">
                    <w:rPr>
                      <w:color w:val="auto"/>
                    </w:rPr>
                    <w:t>)</w:t>
                  </w:r>
                  <w:r w:rsidR="00155B1F" w:rsidRPr="00175B26">
                    <w:rPr>
                      <w:color w:val="auto"/>
                      <w:vertAlign w:val="subscript"/>
                    </w:rPr>
                    <w:t>2(s)</w:t>
                  </w:r>
                </w:p>
              </w:txbxContent>
            </v:textbox>
            <w10:wrap type="none"/>
            <w10:anchorlock/>
          </v:shape>
        </w:pict>
      </w:r>
    </w:p>
    <w:p w:rsidR="004B26AC" w:rsidRPr="00984EF9" w:rsidRDefault="0058721C" w:rsidP="004B26AC">
      <w:pPr>
        <w:pStyle w:val="berschrift2"/>
      </w:pPr>
      <w:r>
        <w:rPr>
          <w:noProof/>
          <w:lang w:eastAsia="de-DE"/>
        </w:rPr>
        <w:lastRenderedPageBreak/>
        <w:pict>
          <v:shape id="_x0000_s1160" type="#_x0000_t202" style="position:absolute;left:0;text-align:left;margin-left:-.05pt;margin-top:35.2pt;width:462.45pt;height:67.95pt;z-index:251791360;mso-width-relative:margin;mso-height-relative:margin" fillcolor="white [3201]" strokecolor="#4bacc6 [3208]" strokeweight="1pt">
            <v:stroke dashstyle="dash"/>
            <v:shadow color="#868686"/>
            <v:textbox style="mso-next-textbox:#_x0000_s1160">
              <w:txbxContent>
                <w:p w:rsidR="00155B1F" w:rsidRDefault="00155B1F" w:rsidP="004B26A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soll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verdeutlichen, dass charakteristische Eigenschaften eines Stoffes, hier der Geruch, als Nachweis für diesen dienen können.</w:t>
                  </w:r>
                </w:p>
                <w:p w:rsidR="00155B1F" w:rsidRPr="00F31EBF" w:rsidRDefault="00155B1F" w:rsidP="004B26A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sollten die die Technik des Zufächelns bei Geruchsproben beherrschen.</w:t>
                  </w:r>
                </w:p>
              </w:txbxContent>
            </v:textbox>
            <w10:wrap type="square"/>
          </v:shape>
        </w:pict>
      </w:r>
      <w:bookmarkStart w:id="6" w:name="_Toc428186831"/>
      <w:r w:rsidR="00296F3A">
        <w:t>V3</w:t>
      </w:r>
      <w:r w:rsidR="004B26AC">
        <w:t xml:space="preserve"> – </w:t>
      </w:r>
      <w:r w:rsidR="00296F3A">
        <w:t>Essigsäure-Nachweis</w:t>
      </w:r>
      <w:bookmarkEnd w:id="6"/>
    </w:p>
    <w:p w:rsidR="004B26AC" w:rsidRDefault="004B26AC" w:rsidP="004B26AC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B26AC" w:rsidRPr="009C5E28" w:rsidTr="004B26AC">
        <w:tc>
          <w:tcPr>
            <w:tcW w:w="9322" w:type="dxa"/>
            <w:gridSpan w:val="9"/>
            <w:shd w:val="clear" w:color="auto" w:fill="4F81BD"/>
            <w:vAlign w:val="center"/>
          </w:tcPr>
          <w:p w:rsidR="004B26AC" w:rsidRPr="00F31EBF" w:rsidRDefault="004B26AC" w:rsidP="004B26AC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C75A6" w:rsidRPr="009C5E28" w:rsidTr="004B26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75A6" w:rsidRDefault="009C75A6" w:rsidP="004B26AC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Demin</w:t>
            </w:r>
            <w:proofErr w:type="spellEnd"/>
            <w:r>
              <w:rPr>
                <w:sz w:val="20"/>
              </w:rPr>
              <w:t>. 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C75A6" w:rsidRPr="004B26AC" w:rsidRDefault="009C75A6" w:rsidP="00296F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C75A6" w:rsidRPr="004B26AC" w:rsidRDefault="009C75A6" w:rsidP="00296F3A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4B26AC" w:rsidRPr="009C5E28" w:rsidTr="004B26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4B26AC" w:rsidRDefault="00296F3A" w:rsidP="004B26A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Essigsäure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4B26AC" w:rsidRDefault="004B26AC" w:rsidP="00296F3A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 xml:space="preserve">H: </w:t>
            </w:r>
            <w:r w:rsidR="00296F3A">
              <w:rPr>
                <w:sz w:val="20"/>
              </w:rPr>
              <w:t>226, 314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B26AC" w:rsidRPr="004B26AC" w:rsidRDefault="004B26AC" w:rsidP="00296F3A">
            <w:pPr>
              <w:spacing w:after="0"/>
              <w:jc w:val="center"/>
              <w:rPr>
                <w:sz w:val="20"/>
              </w:rPr>
            </w:pPr>
            <w:r w:rsidRPr="004B26AC">
              <w:rPr>
                <w:sz w:val="20"/>
              </w:rPr>
              <w:t xml:space="preserve">P: </w:t>
            </w:r>
            <w:r w:rsidR="00296F3A">
              <w:rPr>
                <w:sz w:val="20"/>
              </w:rPr>
              <w:t>280, 301+330+331, 307+310, 305+351+338</w:t>
            </w:r>
          </w:p>
        </w:tc>
      </w:tr>
      <w:tr w:rsidR="004B26AC" w:rsidRPr="009C5E28" w:rsidTr="004B26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296F3A" w:rsidP="004B26A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Essig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4B26AC" w:rsidRPr="009C5E28" w:rsidTr="004B26A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Indikator-(</w:t>
            </w:r>
            <w:proofErr w:type="spellStart"/>
            <w:r>
              <w:rPr>
                <w:color w:val="auto"/>
                <w:sz w:val="20"/>
                <w:szCs w:val="20"/>
              </w:rPr>
              <w:t>papier</w:t>
            </w:r>
            <w:proofErr w:type="spellEnd"/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4B26AC" w:rsidRPr="009C5E28" w:rsidRDefault="004B26AC" w:rsidP="004B26A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4B26AC" w:rsidRPr="009C5E28" w:rsidRDefault="004B26AC" w:rsidP="004B26AC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4B26AC" w:rsidRPr="009C5E28" w:rsidTr="004B26A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B26AC" w:rsidRPr="009C5E28" w:rsidRDefault="004B26AC" w:rsidP="004B26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6AC" w:rsidRDefault="004B26AC" w:rsidP="004B26AC">
      <w:pPr>
        <w:tabs>
          <w:tab w:val="left" w:pos="1701"/>
          <w:tab w:val="left" w:pos="1985"/>
        </w:tabs>
        <w:ind w:left="1980" w:hanging="1980"/>
      </w:pPr>
    </w:p>
    <w:p w:rsidR="004B26AC" w:rsidRDefault="004B26AC" w:rsidP="00155B1F">
      <w:pPr>
        <w:tabs>
          <w:tab w:val="left" w:pos="1701"/>
          <w:tab w:val="left" w:pos="1905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155B1F">
        <w:tab/>
      </w:r>
      <w:r w:rsidR="00155B1F">
        <w:tab/>
      </w:r>
      <w:r w:rsidR="00155B1F">
        <w:tab/>
      </w:r>
      <w:r w:rsidR="00296F3A">
        <w:t>2 Bechergläser</w:t>
      </w:r>
      <w:r w:rsidR="009C75A6">
        <w:t>, Indikatorpapier (oder anderer Indikator)</w:t>
      </w:r>
    </w:p>
    <w:p w:rsidR="004B26AC" w:rsidRPr="00ED07C2" w:rsidRDefault="004B26AC" w:rsidP="004B26AC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155B1F">
        <w:tab/>
      </w:r>
      <w:r w:rsidR="00155B1F">
        <w:tab/>
      </w:r>
      <w:r w:rsidR="00296F3A">
        <w:t>verdünnte Essigsäure, Haushaltsessig</w:t>
      </w:r>
      <w:r w:rsidR="009C75A6">
        <w:t xml:space="preserve">, </w:t>
      </w:r>
      <w:proofErr w:type="spellStart"/>
      <w:r w:rsidR="009C75A6">
        <w:t>demin</w:t>
      </w:r>
      <w:proofErr w:type="spellEnd"/>
      <w:r w:rsidR="009C75A6">
        <w:t>. Wasser</w:t>
      </w:r>
    </w:p>
    <w:p w:rsidR="009C75A6" w:rsidRDefault="004B26AC" w:rsidP="00155B1F">
      <w:pPr>
        <w:tabs>
          <w:tab w:val="left" w:pos="1701"/>
          <w:tab w:val="left" w:pos="1985"/>
        </w:tabs>
        <w:ind w:left="2124" w:hanging="2124"/>
      </w:pPr>
      <w:r>
        <w:t xml:space="preserve">Durchführung: </w:t>
      </w:r>
      <w:r>
        <w:tab/>
      </w:r>
      <w:r>
        <w:tab/>
      </w:r>
      <w:r w:rsidR="00155B1F">
        <w:tab/>
      </w:r>
      <w:r w:rsidR="009C75A6">
        <w:t xml:space="preserve">Die beiden Geruchsproben und das </w:t>
      </w:r>
      <w:proofErr w:type="spellStart"/>
      <w:r w:rsidR="009C75A6">
        <w:t>demin</w:t>
      </w:r>
      <w:proofErr w:type="spellEnd"/>
      <w:r w:rsidR="009C75A6">
        <w:t>. Wasser werden jeweils in ein Becherglas gefüllt. Durch Zufächeln wird der Geruch wahrgenommen. Mit dem Indikator(-</w:t>
      </w:r>
      <w:proofErr w:type="spellStart"/>
      <w:r w:rsidR="009C75A6">
        <w:t>papier</w:t>
      </w:r>
      <w:proofErr w:type="spellEnd"/>
      <w:r w:rsidR="009C75A6">
        <w:t>) wird der pH-Wert bestimmt.</w:t>
      </w:r>
    </w:p>
    <w:p w:rsidR="004B26AC" w:rsidRDefault="004B26AC" w:rsidP="00155B1F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 w:rsidR="00155B1F">
        <w:tab/>
      </w:r>
      <w:r w:rsidR="009C75A6">
        <w:t xml:space="preserve">Bei dem Essig und der Essigsäure lässt sich ein starker Essiggeruch wahrnehmen. Das pH-Papier verfärbt sich </w:t>
      </w:r>
      <w:r w:rsidR="00155B1F">
        <w:t xml:space="preserve">bei der verdünnten Essigsäure </w:t>
      </w:r>
      <w:r w:rsidR="009C75A6">
        <w:t>orange-rot</w:t>
      </w:r>
      <w:r w:rsidR="00155B1F">
        <w:t xml:space="preserve"> und bei dem Haushaltsessig dunkelorange</w:t>
      </w:r>
      <w:r w:rsidR="009C75A6">
        <w:t xml:space="preserve">. Das </w:t>
      </w:r>
      <w:proofErr w:type="spellStart"/>
      <w:r w:rsidR="009C75A6">
        <w:t>demin</w:t>
      </w:r>
      <w:proofErr w:type="spellEnd"/>
      <w:r w:rsidR="009C75A6">
        <w:t>. Wasser weist keinen eigenen Geruch auf. Das pH-Papier weist eine orange-gelbe Färbung auf.</w:t>
      </w:r>
    </w:p>
    <w:p w:rsidR="009C75A6" w:rsidRDefault="00155B1F" w:rsidP="004B26AC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Der Essiggeruch ist charakteristisch für die Essigsäure und ist somit auch ein Nachweis für diese. Das pH-Papier weist die dissoziierten H</w:t>
      </w:r>
      <w:r>
        <w:rPr>
          <w:vertAlign w:val="superscript"/>
        </w:rPr>
        <w:t>+</w:t>
      </w:r>
      <w:r>
        <w:t xml:space="preserve">-Ionen der Essigsäure in der Lösung nach. Bei der verdünnten Essigsäure lässt sich ein pH-Wert von 2, beim Essig ein pH-Wert von 3  und beim </w:t>
      </w:r>
      <w:proofErr w:type="spellStart"/>
      <w:r>
        <w:t>demin</w:t>
      </w:r>
      <w:proofErr w:type="spellEnd"/>
      <w:r>
        <w:t xml:space="preserve">. Wasser ein pH-Wert von 7 </w:t>
      </w:r>
      <w:proofErr w:type="gramStart"/>
      <w:r>
        <w:t>bestimmen</w:t>
      </w:r>
      <w:proofErr w:type="gramEnd"/>
      <w:r>
        <w:t xml:space="preserve">. Die verdünnte Essigsäure dient als positive und das </w:t>
      </w:r>
      <w:proofErr w:type="spellStart"/>
      <w:r>
        <w:t>demin</w:t>
      </w:r>
      <w:proofErr w:type="spellEnd"/>
      <w:r>
        <w:t>. Wasser als negative Blindprobe. Daraus lässt sich schließen, dass Haushaltsessig Essigsäure beinhaltet.</w:t>
      </w:r>
    </w:p>
    <w:p w:rsidR="00155B1F" w:rsidRDefault="00155B1F" w:rsidP="004B26AC">
      <w:pPr>
        <w:tabs>
          <w:tab w:val="left" w:pos="1701"/>
          <w:tab w:val="left" w:pos="1985"/>
        </w:tabs>
        <w:ind w:left="2124" w:hanging="2124"/>
      </w:pPr>
      <w:r>
        <w:lastRenderedPageBreak/>
        <w:tab/>
      </w:r>
      <w:r>
        <w:tab/>
      </w:r>
      <w:r>
        <w:tab/>
        <w:t>Die Reaktionsgleichung lautet:</w:t>
      </w:r>
    </w:p>
    <w:p w:rsidR="00155B1F" w:rsidRPr="00155B1F" w:rsidRDefault="00155B1F" w:rsidP="004B26AC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CH</w:t>
      </w:r>
      <w:r>
        <w:rPr>
          <w:vertAlign w:val="subscript"/>
        </w:rPr>
        <w:t>3</w:t>
      </w:r>
      <w:r>
        <w:t>COOH</w:t>
      </w:r>
      <w:r>
        <w:rPr>
          <w:vertAlign w:val="subscript"/>
        </w:rPr>
        <w:t>(l)</w:t>
      </w:r>
      <w:r>
        <w:t xml:space="preserve"> +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(l)</w:t>
      </w:r>
      <w:r>
        <w:t xml:space="preserve"> </w:t>
      </w:r>
      <w: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+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rPr>
          <w:vertAlign w:val="subscript"/>
        </w:rPr>
        <w:t>(</w:t>
      </w:r>
      <w:proofErr w:type="spellStart"/>
      <w:r>
        <w:rPr>
          <w:vertAlign w:val="subscript"/>
        </w:rPr>
        <w:t>aq</w:t>
      </w:r>
      <w:proofErr w:type="spellEnd"/>
      <w:r>
        <w:rPr>
          <w:vertAlign w:val="subscript"/>
        </w:rPr>
        <w:t>)</w:t>
      </w:r>
      <w:r>
        <w:t xml:space="preserve"> </w:t>
      </w:r>
    </w:p>
    <w:p w:rsidR="00155B1F" w:rsidRDefault="004B26AC" w:rsidP="004B26AC">
      <w:pPr>
        <w:ind w:left="2124" w:hanging="2124"/>
      </w:pPr>
      <w:r>
        <w:t>Entsorgung:</w:t>
      </w:r>
      <w:r>
        <w:tab/>
      </w:r>
      <w:r w:rsidR="00155B1F">
        <w:t xml:space="preserve">Das </w:t>
      </w:r>
      <w:proofErr w:type="spellStart"/>
      <w:r w:rsidR="00155B1F">
        <w:t>demin</w:t>
      </w:r>
      <w:proofErr w:type="spellEnd"/>
      <w:r w:rsidR="00155B1F">
        <w:t>. Wasser kann in den Ausguss gegeben werden. Die essigsäur</w:t>
      </w:r>
      <w:r w:rsidR="00155B1F">
        <w:t>e</w:t>
      </w:r>
      <w:r w:rsidR="00155B1F">
        <w:t>haltigen Lösungen werden in einem Becherglas auf dem Lehrertisch g</w:t>
      </w:r>
      <w:r w:rsidR="00155B1F">
        <w:t>e</w:t>
      </w:r>
      <w:r w:rsidR="00155B1F">
        <w:t>sammelt und im Säure-Base-Behälter entsorgt.</w:t>
      </w:r>
    </w:p>
    <w:p w:rsidR="00296F3A" w:rsidRPr="004245BF" w:rsidRDefault="004B26AC" w:rsidP="004245BF">
      <w:pPr>
        <w:ind w:left="2124" w:hanging="2124"/>
        <w:jc w:val="left"/>
        <w:rPr>
          <w:color w:val="auto"/>
        </w:rPr>
      </w:pPr>
      <w:r>
        <w:t>Literatur:</w:t>
      </w:r>
      <w:r>
        <w:tab/>
      </w:r>
      <w:r w:rsidR="004245BF">
        <w:t xml:space="preserve">ähnlich zu: D. </w:t>
      </w:r>
      <w:proofErr w:type="spellStart"/>
      <w:r w:rsidR="004245BF">
        <w:t>Wiechoczek</w:t>
      </w:r>
      <w:proofErr w:type="spellEnd"/>
      <w:r w:rsidR="004245BF">
        <w:t xml:space="preserve">, </w:t>
      </w:r>
      <w:r w:rsidR="004245BF" w:rsidRPr="004245BF">
        <w:t>http://www.chemieunterricht.de/dc2/essig/hac-12.htm</w:t>
      </w:r>
      <w:r w:rsidR="004245BF">
        <w:t>, 18.09.2007</w:t>
      </w:r>
      <w:r w:rsidR="004245BF">
        <w:rPr>
          <w:color w:val="auto"/>
        </w:rPr>
        <w:t xml:space="preserve"> </w:t>
      </w:r>
      <w:r w:rsidR="004245BF">
        <w:t>(letzter Aufruf am 10</w:t>
      </w:r>
      <w:r>
        <w:t xml:space="preserve">.08.2015 um </w:t>
      </w:r>
      <w:r w:rsidR="004245BF">
        <w:t>20</w:t>
      </w:r>
      <w:r>
        <w:t>.</w:t>
      </w:r>
      <w:r w:rsidR="004245BF">
        <w:t>23</w:t>
      </w:r>
      <w:r>
        <w:t xml:space="preserve"> Uhr).</w:t>
      </w:r>
    </w:p>
    <w:p w:rsidR="005B4F0B" w:rsidRPr="001D6B7B" w:rsidRDefault="0058721C" w:rsidP="004B26AC">
      <w:pPr>
        <w:ind w:left="2124" w:hanging="2124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58721C">
        <w:pict>
          <v:shape id="_x0000_s1163" type="#_x0000_t202" style="width:462.45pt;height:62.3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3">
              <w:txbxContent>
                <w:p w:rsidR="004245BF" w:rsidRPr="004245BF" w:rsidRDefault="004245BF" w:rsidP="004B26AC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Um Feststoffe auf Essigsäure zu testen, können diese mit KHSO</w:t>
                  </w:r>
                  <w:r>
                    <w:rPr>
                      <w:color w:val="auto"/>
                      <w:vertAlign w:val="subscript"/>
                    </w:rPr>
                    <w:t>4</w:t>
                  </w:r>
                  <w:r>
                    <w:rPr>
                      <w:color w:val="auto"/>
                    </w:rPr>
                    <w:t xml:space="preserve"> in einem Mörser zerrieben werden. Enthält die Verbindung Essigsäure lässt sich dann der charakteristische Essiggeruch wahrnehmen.</w:t>
                  </w:r>
                </w:p>
              </w:txbxContent>
            </v:textbox>
            <w10:wrap type="none"/>
            <w10:anchorlock/>
          </v:shape>
        </w:pict>
      </w:r>
    </w:p>
    <w:sectPr w:rsidR="005B4F0B" w:rsidRPr="001D6B7B" w:rsidSect="005B0270">
      <w:headerReference w:type="default" r:id="rId31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89" w:rsidRDefault="000A0689" w:rsidP="0086227B">
      <w:pPr>
        <w:spacing w:after="0" w:line="240" w:lineRule="auto"/>
      </w:pPr>
      <w:r>
        <w:separator/>
      </w:r>
    </w:p>
  </w:endnote>
  <w:endnote w:type="continuationSeparator" w:id="0">
    <w:p w:rsidR="000A0689" w:rsidRDefault="000A0689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F" w:rsidRDefault="00155B1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F" w:rsidRDefault="00155B1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F" w:rsidRDefault="00155B1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89" w:rsidRDefault="000A0689" w:rsidP="0086227B">
      <w:pPr>
        <w:spacing w:after="0" w:line="240" w:lineRule="auto"/>
      </w:pPr>
      <w:r>
        <w:separator/>
      </w:r>
    </w:p>
  </w:footnote>
  <w:footnote w:type="continuationSeparator" w:id="0">
    <w:p w:rsidR="000A0689" w:rsidRDefault="000A0689" w:rsidP="0086227B">
      <w:pPr>
        <w:spacing w:after="0" w:line="240" w:lineRule="auto"/>
      </w:pPr>
      <w:r>
        <w:continuationSeparator/>
      </w:r>
    </w:p>
  </w:footnote>
  <w:footnote w:id="1">
    <w:p w:rsidR="00155B1F" w:rsidRDefault="00155B1F">
      <w:pPr>
        <w:pStyle w:val="Funotentext"/>
      </w:pPr>
      <w:r>
        <w:rPr>
          <w:rStyle w:val="Funotenzeichen"/>
        </w:rPr>
        <w:footnoteRef/>
      </w:r>
      <w:r>
        <w:t xml:space="preserve"> Bei GESTIS kann nur </w:t>
      </w:r>
      <w:proofErr w:type="spellStart"/>
      <w:r>
        <w:t>Triammoniumcitrat</w:t>
      </w:r>
      <w:proofErr w:type="spellEnd"/>
      <w:r>
        <w:t xml:space="preserve"> gefunden werden. Das Experiment wurde mit di-Ammoniumhydrogencitrat durchgeführt.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F" w:rsidRDefault="00155B1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F" w:rsidRPr="005B0270" w:rsidRDefault="00155B1F" w:rsidP="005B027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1F" w:rsidRDefault="00155B1F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155B1F" w:rsidRPr="0080101C" w:rsidRDefault="0058721C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162E1C" w:rsidRPr="00162E1C">
            <w:rPr>
              <w:b/>
              <w:bCs/>
              <w:noProof/>
              <w:sz w:val="20"/>
            </w:rPr>
            <w:t>2</w:t>
          </w:r>
        </w:fldSimple>
        <w:r w:rsidR="00155B1F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162E1C">
            <w:rPr>
              <w:noProof/>
            </w:rPr>
            <w:t>Weitere Schülerversuche</w:t>
          </w:r>
        </w:fldSimple>
        <w:r w:rsidR="00155B1F" w:rsidRPr="0080101C">
          <w:rPr>
            <w:rFonts w:asciiTheme="majorHAnsi" w:hAnsiTheme="majorHAnsi"/>
            <w:sz w:val="20"/>
            <w:szCs w:val="20"/>
          </w:rPr>
          <w:tab/>
        </w:r>
        <w:r w:rsidR="00155B1F" w:rsidRPr="0080101C">
          <w:rPr>
            <w:rFonts w:asciiTheme="majorHAnsi" w:hAnsiTheme="majorHAnsi"/>
            <w:sz w:val="20"/>
            <w:szCs w:val="20"/>
          </w:rPr>
          <w:tab/>
        </w:r>
        <w:r w:rsidR="00155B1F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155B1F" w:rsidRPr="0080101C" w:rsidRDefault="0058721C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760E6"/>
    <w:multiLevelType w:val="hybridMultilevel"/>
    <w:tmpl w:val="2DA2220A"/>
    <w:lvl w:ilvl="0" w:tplc="604226C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4A6678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9F8DFC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3ABDF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468299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DDC954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EE2F78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F60836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B4CD5B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E0C88"/>
    <w:multiLevelType w:val="hybridMultilevel"/>
    <w:tmpl w:val="E062D068"/>
    <w:lvl w:ilvl="0" w:tplc="D63EAB2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E080C2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402E3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3497A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31673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67E069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F44B64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49A86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DC300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0"/>
  </w:num>
  <w:num w:numId="20">
    <w:abstractNumId w:val="5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A0689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43441"/>
    <w:rsid w:val="00153EA8"/>
    <w:rsid w:val="00155B1F"/>
    <w:rsid w:val="00157F3D"/>
    <w:rsid w:val="00162E1C"/>
    <w:rsid w:val="00175B26"/>
    <w:rsid w:val="001A7524"/>
    <w:rsid w:val="001B46E0"/>
    <w:rsid w:val="001C5EFC"/>
    <w:rsid w:val="001D6B7B"/>
    <w:rsid w:val="00206D6B"/>
    <w:rsid w:val="00216E3C"/>
    <w:rsid w:val="0023241F"/>
    <w:rsid w:val="002347FE"/>
    <w:rsid w:val="002375EF"/>
    <w:rsid w:val="00254255"/>
    <w:rsid w:val="00254F3F"/>
    <w:rsid w:val="00270289"/>
    <w:rsid w:val="0028080E"/>
    <w:rsid w:val="0028646F"/>
    <w:rsid w:val="002944CF"/>
    <w:rsid w:val="00296F3A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1706A"/>
    <w:rsid w:val="00326D96"/>
    <w:rsid w:val="0033677B"/>
    <w:rsid w:val="00336B3B"/>
    <w:rsid w:val="00337B69"/>
    <w:rsid w:val="00344BB7"/>
    <w:rsid w:val="00345293"/>
    <w:rsid w:val="00345F54"/>
    <w:rsid w:val="0035415B"/>
    <w:rsid w:val="003756C4"/>
    <w:rsid w:val="0038284A"/>
    <w:rsid w:val="003837C2"/>
    <w:rsid w:val="00384682"/>
    <w:rsid w:val="003A26F1"/>
    <w:rsid w:val="003B49C6"/>
    <w:rsid w:val="003C5747"/>
    <w:rsid w:val="003C6A16"/>
    <w:rsid w:val="003D1454"/>
    <w:rsid w:val="003D529E"/>
    <w:rsid w:val="003E69AB"/>
    <w:rsid w:val="00401750"/>
    <w:rsid w:val="004102B8"/>
    <w:rsid w:val="0041565C"/>
    <w:rsid w:val="004245BF"/>
    <w:rsid w:val="00434D4E"/>
    <w:rsid w:val="00434F30"/>
    <w:rsid w:val="00442EB1"/>
    <w:rsid w:val="00465B61"/>
    <w:rsid w:val="00486C9F"/>
    <w:rsid w:val="0049087A"/>
    <w:rsid w:val="004944F3"/>
    <w:rsid w:val="004B200E"/>
    <w:rsid w:val="004B26AC"/>
    <w:rsid w:val="004B3E0E"/>
    <w:rsid w:val="004C64A6"/>
    <w:rsid w:val="004D2994"/>
    <w:rsid w:val="004D321A"/>
    <w:rsid w:val="004E5B91"/>
    <w:rsid w:val="004F1A17"/>
    <w:rsid w:val="004F4039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66D52"/>
    <w:rsid w:val="00573704"/>
    <w:rsid w:val="00574063"/>
    <w:rsid w:val="005745F8"/>
    <w:rsid w:val="0057596C"/>
    <w:rsid w:val="00576C62"/>
    <w:rsid w:val="0058721C"/>
    <w:rsid w:val="00591B02"/>
    <w:rsid w:val="00595177"/>
    <w:rsid w:val="005978FA"/>
    <w:rsid w:val="005A2E89"/>
    <w:rsid w:val="005B0270"/>
    <w:rsid w:val="005B1F71"/>
    <w:rsid w:val="005B23FC"/>
    <w:rsid w:val="005B4F0B"/>
    <w:rsid w:val="005B60E3"/>
    <w:rsid w:val="005B6DC5"/>
    <w:rsid w:val="005E1939"/>
    <w:rsid w:val="005E3970"/>
    <w:rsid w:val="005F2176"/>
    <w:rsid w:val="00626874"/>
    <w:rsid w:val="00631F0F"/>
    <w:rsid w:val="00637239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451C"/>
    <w:rsid w:val="006F4715"/>
    <w:rsid w:val="00707392"/>
    <w:rsid w:val="00715E8B"/>
    <w:rsid w:val="00716097"/>
    <w:rsid w:val="0072123D"/>
    <w:rsid w:val="00723BE5"/>
    <w:rsid w:val="00737CE4"/>
    <w:rsid w:val="00745CFF"/>
    <w:rsid w:val="00746773"/>
    <w:rsid w:val="00775EEC"/>
    <w:rsid w:val="0078071E"/>
    <w:rsid w:val="00790D3B"/>
    <w:rsid w:val="007A7FA8"/>
    <w:rsid w:val="007E586C"/>
    <w:rsid w:val="007E7412"/>
    <w:rsid w:val="007F2348"/>
    <w:rsid w:val="00801678"/>
    <w:rsid w:val="008042F5"/>
    <w:rsid w:val="00815FB9"/>
    <w:rsid w:val="0082230A"/>
    <w:rsid w:val="00837114"/>
    <w:rsid w:val="008561AC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F5380"/>
    <w:rsid w:val="00905459"/>
    <w:rsid w:val="00913D97"/>
    <w:rsid w:val="00936F75"/>
    <w:rsid w:val="0094350A"/>
    <w:rsid w:val="00946F4E"/>
    <w:rsid w:val="00951095"/>
    <w:rsid w:val="00954DC8"/>
    <w:rsid w:val="00961647"/>
    <w:rsid w:val="0097159A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5A6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B42A9"/>
    <w:rsid w:val="00BC4F56"/>
    <w:rsid w:val="00BD1D31"/>
    <w:rsid w:val="00BF2E3A"/>
    <w:rsid w:val="00BF7B08"/>
    <w:rsid w:val="00C0569E"/>
    <w:rsid w:val="00C10E22"/>
    <w:rsid w:val="00C1142A"/>
    <w:rsid w:val="00C12650"/>
    <w:rsid w:val="00C23319"/>
    <w:rsid w:val="00C364B2"/>
    <w:rsid w:val="00C403CD"/>
    <w:rsid w:val="00C428C7"/>
    <w:rsid w:val="00C460EB"/>
    <w:rsid w:val="00C51D56"/>
    <w:rsid w:val="00C66D91"/>
    <w:rsid w:val="00CA6231"/>
    <w:rsid w:val="00CB2161"/>
    <w:rsid w:val="00CE1F14"/>
    <w:rsid w:val="00CF0B61"/>
    <w:rsid w:val="00CF79FE"/>
    <w:rsid w:val="00D069A2"/>
    <w:rsid w:val="00D1194E"/>
    <w:rsid w:val="00D407E8"/>
    <w:rsid w:val="00D54590"/>
    <w:rsid w:val="00D551E8"/>
    <w:rsid w:val="00D60010"/>
    <w:rsid w:val="00D71F3E"/>
    <w:rsid w:val="00D76EE6"/>
    <w:rsid w:val="00D76F6F"/>
    <w:rsid w:val="00D90F31"/>
    <w:rsid w:val="00D92822"/>
    <w:rsid w:val="00DA6545"/>
    <w:rsid w:val="00DC0309"/>
    <w:rsid w:val="00DE18A7"/>
    <w:rsid w:val="00DE1916"/>
    <w:rsid w:val="00E07A02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26F0B"/>
    <w:rsid w:val="00F31EBF"/>
    <w:rsid w:val="00F3487A"/>
    <w:rsid w:val="00F74A95"/>
    <w:rsid w:val="00F849B0"/>
    <w:rsid w:val="00F93517"/>
    <w:rsid w:val="00FA486B"/>
    <w:rsid w:val="00FA58C5"/>
    <w:rsid w:val="00FB3D74"/>
    <w:rsid w:val="00FB750E"/>
    <w:rsid w:val="00FC02BE"/>
    <w:rsid w:val="00FC45C0"/>
    <w:rsid w:val="00FC7183"/>
    <w:rsid w:val="00FD644E"/>
    <w:rsid w:val="00FE54D8"/>
    <w:rsid w:val="00FF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  <o:rules v:ext="edit">
        <o:r id="V:Rule4" type="connector" idref="#_x0000_s1162"/>
        <o:r id="V:Rule5" type="connector" idref="#_x0000_s1153"/>
        <o:r id="V:Rule6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1609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6097"/>
    <w:rPr>
      <w:rFonts w:ascii="Cambria" w:hAnsi="Cambria"/>
      <w:color w:val="1D1B11" w:themeColor="background2" w:themeShade="1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60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51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04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95D57471-1E7C-40E4-B4C1-CE350BFC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Mini</cp:lastModifiedBy>
  <cp:revision>23</cp:revision>
  <cp:lastPrinted>2015-08-24T11:30:00Z</cp:lastPrinted>
  <dcterms:created xsi:type="dcterms:W3CDTF">2015-08-09T16:59:00Z</dcterms:created>
  <dcterms:modified xsi:type="dcterms:W3CDTF">2015-08-24T11:38:00Z</dcterms:modified>
</cp:coreProperties>
</file>