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6A" w:rsidRDefault="00E43C6A" w:rsidP="00E43C6A">
      <w:pPr>
        <w:pStyle w:val="berschrift1"/>
        <w:numPr>
          <w:ilvl w:val="0"/>
          <w:numId w:val="0"/>
        </w:numPr>
        <w:ind w:left="432"/>
      </w:pPr>
      <w:bookmarkStart w:id="0" w:name="_Toc427656949"/>
      <w:bookmarkStart w:id="1" w:name="_GoBack"/>
      <w:bookmarkEnd w:id="1"/>
      <w:r>
        <w:rPr>
          <w:noProof/>
          <w:lang w:eastAsia="de-DE"/>
        </w:rPr>
        <mc:AlternateContent>
          <mc:Choice Requires="wps">
            <w:drawing>
              <wp:anchor distT="0" distB="0" distL="114300" distR="114300" simplePos="0" relativeHeight="251659264" behindDoc="0" locked="0" layoutInCell="1" allowOverlap="1" wp14:anchorId="48315154" wp14:editId="2709E5C0">
                <wp:simplePos x="0" y="0"/>
                <wp:positionH relativeFrom="column">
                  <wp:posOffset>-4445</wp:posOffset>
                </wp:positionH>
                <wp:positionV relativeFrom="paragraph">
                  <wp:posOffset>807720</wp:posOffset>
                </wp:positionV>
                <wp:extent cx="5873115" cy="1028700"/>
                <wp:effectExtent l="0" t="0" r="13335" b="19050"/>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3C6A" w:rsidRPr="00F31EBF" w:rsidRDefault="00E43C6A" w:rsidP="00E43C6A">
                            <w:pPr>
                              <w:rPr>
                                <w:color w:val="auto"/>
                              </w:rPr>
                            </w:pPr>
                            <w:r>
                              <w:rPr>
                                <w:color w:val="auto"/>
                              </w:rPr>
                              <w:t>Im folgenden Versuch soll eine Möglichkeit zur Bestimmung der Gesamtwasserhärte gezeigt werden. Die SuS sollen hierbei Titrieren üben, da sie dieses auch im weiteren Schulverlauf noch häufig anwenden werden. Um den Versuch deuten zu können, benötigen die SuS Vorwissen über das Thema Komplexe und Komplexbildung.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15154" id="_x0000_t202" coordsize="21600,21600" o:spt="202" path="m,l,21600r21600,l21600,xe">
                <v:stroke joinstyle="miter"/>
                <v:path gradientshapeok="t" o:connecttype="rect"/>
              </v:shapetype>
              <v:shape id="Text Box 60" o:spid="_x0000_s1026" type="#_x0000_t202" style="position:absolute;left:0;text-align:left;margin-left:-.35pt;margin-top:63.6pt;width:462.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" fillcolor="white [3201]" strokecolor="#4472c4 [3208]" strokeweight="1pt">
                <v:stroke dashstyle="dash"/>
                <v:shadow color="#868686"/>
                <v:textbox>
                  <w:txbxContent>
                    <w:p w:rsidR="00E43C6A" w:rsidRPr="00F31EBF" w:rsidRDefault="00E43C6A" w:rsidP="00E43C6A">
                      <w:pPr>
                        <w:rPr>
                          <w:color w:val="auto"/>
                        </w:rPr>
                      </w:pPr>
                      <w:r>
                        <w:rPr>
                          <w:color w:val="auto"/>
                        </w:rPr>
                        <w:t>Im folgenden Versuch soll eine Möglichkeit zur Bestimmung der Gesamtwasserhärte gezeigt werden. Die SuS sollen hierbei Titrieren üben, da sie dieses auch im weiteren Schulverlauf noch häufig anwenden werden. Um den Versuch deuten zu können, benötigen die SuS Vorwissen über das Thema Komplexe und Komplexbildung.</w:t>
                      </w:r>
                    </w:p>
                  </w:txbxContent>
                </v:textbox>
                <w10:wrap type="square"/>
              </v:shape>
            </w:pict>
          </mc:Fallback>
        </mc:AlternateContent>
      </w:r>
      <w:r>
        <w:t xml:space="preserve">V2–Wasserhärtebestimmung durch </w:t>
      </w:r>
      <w:proofErr w:type="spellStart"/>
      <w:r>
        <w:t>komplexometrische</w:t>
      </w:r>
      <w:proofErr w:type="spellEnd"/>
      <w:r>
        <w:t xml:space="preserve"> Titration</w:t>
      </w:r>
      <w:bookmarkEnd w:id="0"/>
    </w:p>
    <w:p w:rsidR="00E43C6A" w:rsidRDefault="00E43C6A" w:rsidP="00E43C6A">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43C6A" w:rsidRPr="009C5E28" w:rsidTr="00B27724">
        <w:tc>
          <w:tcPr>
            <w:tcW w:w="9322" w:type="dxa"/>
            <w:gridSpan w:val="9"/>
            <w:shd w:val="clear" w:color="auto" w:fill="4F81BD"/>
            <w:vAlign w:val="center"/>
          </w:tcPr>
          <w:p w:rsidR="00E43C6A" w:rsidRPr="00F31EBF" w:rsidRDefault="00E43C6A" w:rsidP="00B27724">
            <w:pPr>
              <w:spacing w:after="0"/>
              <w:jc w:val="center"/>
              <w:rPr>
                <w:b/>
                <w:bCs/>
                <w:color w:val="FFFFFF" w:themeColor="background1"/>
              </w:rPr>
            </w:pPr>
            <w:r w:rsidRPr="00F31EBF">
              <w:rPr>
                <w:b/>
                <w:bCs/>
                <w:color w:val="FFFFFF" w:themeColor="background1"/>
              </w:rPr>
              <w:t>Gefahrenstoffe</w:t>
            </w:r>
          </w:p>
        </w:tc>
      </w:tr>
      <w:tr w:rsidR="00E43C6A" w:rsidRPr="009C5E28" w:rsidTr="00B2772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43C6A" w:rsidRPr="009C5E28" w:rsidRDefault="00E43C6A" w:rsidP="00B27724">
            <w:pPr>
              <w:spacing w:after="0" w:line="276" w:lineRule="auto"/>
              <w:jc w:val="center"/>
              <w:rPr>
                <w:b/>
                <w:bCs/>
              </w:rPr>
            </w:pPr>
            <w:r>
              <w:rPr>
                <w:sz w:val="20"/>
              </w:rPr>
              <w:t>Konz. Ammoniaklösung</w:t>
            </w:r>
          </w:p>
        </w:tc>
        <w:tc>
          <w:tcPr>
            <w:tcW w:w="3177" w:type="dxa"/>
            <w:gridSpan w:val="3"/>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sidRPr="009C5E28">
              <w:rPr>
                <w:sz w:val="20"/>
              </w:rPr>
              <w:t xml:space="preserve">H: </w:t>
            </w:r>
            <w: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43C6A" w:rsidRPr="009C5E28" w:rsidRDefault="00E43C6A" w:rsidP="00B27724">
            <w:pPr>
              <w:spacing w:after="0"/>
              <w:jc w:val="center"/>
            </w:pPr>
            <w:r w:rsidRPr="009C5E28">
              <w:rPr>
                <w:sz w:val="20"/>
              </w:rPr>
              <w:t xml:space="preserve">P: </w:t>
            </w:r>
            <w:hyperlink r:id="rId5" w:anchor="P-S.C3.A4tze" w:tooltip="H- und P-Sätze" w:history="1">
              <w:r w:rsidRPr="009C5E28">
                <w:rPr>
                  <w:rStyle w:val="Hyperlink"/>
                  <w:color w:val="auto"/>
                  <w:sz w:val="20"/>
                </w:rPr>
                <w:t>2</w:t>
              </w:r>
              <w:r>
                <w:rPr>
                  <w:rStyle w:val="Hyperlink"/>
                  <w:color w:val="auto"/>
                  <w:sz w:val="20"/>
                </w:rPr>
                <w:t>73</w:t>
              </w:r>
            </w:hyperlink>
            <w:r>
              <w:rPr>
                <w:sz w:val="20"/>
              </w:rPr>
              <w:t xml:space="preserve">, 280, 301+330+331, 304+340, </w:t>
            </w:r>
            <w:r w:rsidRPr="009C5E28">
              <w:rPr>
                <w:sz w:val="20"/>
              </w:rPr>
              <w:t>​</w:t>
            </w:r>
            <w:hyperlink r:id="rId6" w:anchor="P-S.C3.A4tze" w:tooltip="H- und P-Sätze" w:history="1">
              <w:r>
                <w:rPr>
                  <w:rStyle w:val="Hyperlink"/>
                  <w:color w:val="auto"/>
                  <w:sz w:val="20"/>
                </w:rPr>
                <w:t>305+351</w:t>
              </w:r>
              <w:r w:rsidRPr="009C5E28">
                <w:rPr>
                  <w:rStyle w:val="Hyperlink"/>
                  <w:color w:val="auto"/>
                  <w:sz w:val="20"/>
                </w:rPr>
                <w:t>+33</w:t>
              </w:r>
            </w:hyperlink>
            <w:r>
              <w:rPr>
                <w:rStyle w:val="Hyperlink"/>
                <w:color w:val="auto"/>
                <w:sz w:val="20"/>
              </w:rPr>
              <w:t>8, 309+310</w:t>
            </w:r>
          </w:p>
        </w:tc>
      </w:tr>
      <w:tr w:rsidR="00E43C6A" w:rsidRPr="009C5E28" w:rsidTr="00B27724">
        <w:tc>
          <w:tcPr>
            <w:tcW w:w="1009" w:type="dxa"/>
            <w:tcBorders>
              <w:top w:val="single" w:sz="8" w:space="0" w:color="4F81BD"/>
              <w:left w:val="single" w:sz="8" w:space="0" w:color="4F81BD"/>
              <w:bottom w:val="single" w:sz="8" w:space="0" w:color="4F81BD"/>
            </w:tcBorders>
            <w:shd w:val="clear" w:color="auto" w:fill="auto"/>
            <w:vAlign w:val="center"/>
          </w:tcPr>
          <w:p w:rsidR="00E43C6A" w:rsidRPr="009C5E28" w:rsidRDefault="00E43C6A" w:rsidP="00B27724">
            <w:pPr>
              <w:spacing w:after="0"/>
              <w:jc w:val="center"/>
              <w:rPr>
                <w:b/>
                <w:bCs/>
              </w:rPr>
            </w:pPr>
            <w:r>
              <w:rPr>
                <w:b/>
                <w:noProof/>
                <w:lang w:eastAsia="de-DE"/>
              </w:rPr>
              <w:drawing>
                <wp:inline distT="0" distB="0" distL="0" distR="0" wp14:anchorId="41BFAF3F" wp14:editId="71B2DC13">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75B1BD16" wp14:editId="3EAFDC52">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7BA3FBD8" wp14:editId="5D01874D">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1EB07C4D" wp14:editId="739D5BF4">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76DD9281" wp14:editId="2D4A4A3D">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160EC4E1" wp14:editId="4FA3A07D">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5350B074" wp14:editId="598E3233">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3F28A31F" wp14:editId="1506B8E0">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43C6A" w:rsidRPr="009C5E28" w:rsidRDefault="00E43C6A" w:rsidP="00B27724">
            <w:pPr>
              <w:spacing w:after="0"/>
              <w:jc w:val="center"/>
            </w:pPr>
            <w:r>
              <w:rPr>
                <w:noProof/>
                <w:lang w:eastAsia="de-DE"/>
              </w:rPr>
              <w:drawing>
                <wp:inline distT="0" distB="0" distL="0" distR="0" wp14:anchorId="3DEF3055" wp14:editId="1C1E073F">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E43C6A" w:rsidRDefault="00E43C6A" w:rsidP="00E43C6A">
      <w:pPr>
        <w:tabs>
          <w:tab w:val="left" w:pos="1701"/>
          <w:tab w:val="left" w:pos="1985"/>
        </w:tabs>
        <w:ind w:left="1980" w:hanging="1980"/>
      </w:pPr>
    </w:p>
    <w:p w:rsidR="00E43C6A" w:rsidRDefault="00E43C6A" w:rsidP="00E43C6A">
      <w:pPr>
        <w:tabs>
          <w:tab w:val="left" w:pos="1701"/>
          <w:tab w:val="left" w:pos="1985"/>
        </w:tabs>
        <w:ind w:left="1980" w:hanging="1980"/>
      </w:pPr>
      <w:r>
        <w:t xml:space="preserve">Materialien: </w:t>
      </w:r>
      <w:r>
        <w:tab/>
      </w:r>
      <w:r>
        <w:tab/>
        <w:t>2 Bechergläser, Bürette mit Halterung, Stativ, Magnetrührer</w:t>
      </w:r>
    </w:p>
    <w:p w:rsidR="00E43C6A" w:rsidRPr="00ED07C2" w:rsidRDefault="00E43C6A" w:rsidP="00E43C6A">
      <w:pPr>
        <w:tabs>
          <w:tab w:val="left" w:pos="1701"/>
          <w:tab w:val="left" w:pos="1985"/>
        </w:tabs>
        <w:ind w:left="1980" w:hanging="1980"/>
      </w:pPr>
      <w:r>
        <w:t>Chemikalien:</w:t>
      </w:r>
      <w:r>
        <w:tab/>
      </w:r>
      <w:r>
        <w:tab/>
        <w:t xml:space="preserve">Wasserproben (Leitungswasser, destilliertes Wasser, Bachwasser und Regenwasser), EDTA, </w:t>
      </w:r>
      <w:proofErr w:type="spellStart"/>
      <w:r>
        <w:t>konz</w:t>
      </w:r>
      <w:proofErr w:type="spellEnd"/>
      <w:r>
        <w:t>. Ammoniak-Lösung, Indikator-Puffer-Tablette</w:t>
      </w:r>
    </w:p>
    <w:p w:rsidR="00E43C6A" w:rsidRDefault="00E43C6A" w:rsidP="00E43C6A">
      <w:pPr>
        <w:tabs>
          <w:tab w:val="left" w:pos="1701"/>
          <w:tab w:val="left" w:pos="1985"/>
        </w:tabs>
        <w:ind w:left="1980" w:hanging="1980"/>
      </w:pPr>
      <w:r>
        <w:t xml:space="preserve">Durchführung: </w:t>
      </w:r>
      <w:r>
        <w:tab/>
      </w:r>
      <w:r>
        <w:tab/>
        <w:t xml:space="preserve">Zunächst werden 150 ml einer 0,01 M EDTA-Lösung hergestellt. Eine Indikator-Puffer-Tablette wird in 100 ml der ersten Wasserprobe gelöst und ca. 2 ml konzentrierte Ammoniaklösung wird hinzugegeben. Nun wird mit der EDTA-Lösung titriert, wobei die Farbumschläge beobachtet werden. Färbt sich die Lösung von </w:t>
      </w:r>
      <w:proofErr w:type="spellStart"/>
      <w:r>
        <w:t>rot</w:t>
      </w:r>
      <w:proofErr w:type="spellEnd"/>
      <w:r>
        <w:t xml:space="preserve"> nach grün, so ist die Titration abgeschlossen. Bei den anderen Wasserproben wird analog verfahren.</w:t>
      </w:r>
    </w:p>
    <w:p w:rsidR="00E43C6A" w:rsidRDefault="00E43C6A" w:rsidP="00E43C6A">
      <w:pPr>
        <w:tabs>
          <w:tab w:val="left" w:pos="1701"/>
          <w:tab w:val="left" w:pos="1985"/>
        </w:tabs>
        <w:ind w:left="1980" w:hanging="1980"/>
      </w:pPr>
      <w:r>
        <w:t>Beobachtung:</w:t>
      </w:r>
      <w:r>
        <w:tab/>
      </w:r>
      <w:r>
        <w:tab/>
        <w:t>Beim Leitungswasser erfolgt der Farbumschlag zu grün nach 14 ml EDTA-Zugabe, beim Bachwasser nach 65 ml, beim Regenwasser nach 2,5 ml und beim destillierten Wasser nach 1 ml.</w:t>
      </w:r>
    </w:p>
    <w:p w:rsidR="00E43C6A" w:rsidRDefault="00E43C6A" w:rsidP="00E43C6A">
      <w:pPr>
        <w:keepNext/>
        <w:tabs>
          <w:tab w:val="left" w:pos="1701"/>
          <w:tab w:val="left" w:pos="1985"/>
        </w:tabs>
        <w:ind w:left="1980" w:hanging="1980"/>
        <w:jc w:val="center"/>
      </w:pPr>
      <w:r>
        <w:rPr>
          <w:noProof/>
          <w:lang w:eastAsia="de-DE"/>
        </w:rPr>
        <w:lastRenderedPageBreak/>
        <w:drawing>
          <wp:inline distT="0" distB="0" distL="0" distR="0" wp14:anchorId="4708B19C" wp14:editId="33929094">
            <wp:extent cx="1628140" cy="1428220"/>
            <wp:effectExtent l="4762" t="0" r="0" b="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rot="5400000">
                      <a:off x="0" y="0"/>
                      <a:ext cx="1629811" cy="14296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18C14E9E" wp14:editId="4AF1B680">
            <wp:extent cx="1603985" cy="1261130"/>
            <wp:effectExtent l="0" t="317"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2143.JPG"/>
                    <pic:cNvPicPr/>
                  </pic:nvPicPr>
                  <pic:blipFill rotWithShape="1">
                    <a:blip r:embed="rId17" cstate="print">
                      <a:extLst>
                        <a:ext uri="{28A0092B-C50C-407E-A947-70E740481C1C}">
                          <a14:useLocalDpi xmlns:a14="http://schemas.microsoft.com/office/drawing/2010/main"/>
                        </a:ext>
                      </a:extLst>
                    </a:blip>
                    <a:srcRect/>
                    <a:stretch/>
                  </pic:blipFill>
                  <pic:spPr bwMode="auto">
                    <a:xfrm rot="5400000">
                      <a:off x="0" y="0"/>
                      <a:ext cx="1618001" cy="1272150"/>
                    </a:xfrm>
                    <a:prstGeom prst="rect">
                      <a:avLst/>
                    </a:prstGeom>
                    <a:ln>
                      <a:noFill/>
                    </a:ln>
                    <a:extLst>
                      <a:ext uri="{53640926-AAD7-44D8-BBD7-CCE9431645EC}">
                        <a14:shadowObscured xmlns:a14="http://schemas.microsoft.com/office/drawing/2010/main"/>
                      </a:ext>
                    </a:extLst>
                  </pic:spPr>
                </pic:pic>
              </a:graphicData>
            </a:graphic>
          </wp:inline>
        </w:drawing>
      </w:r>
    </w:p>
    <w:p w:rsidR="00E43C6A" w:rsidRDefault="00E43C6A" w:rsidP="00E43C6A">
      <w:pPr>
        <w:pStyle w:val="Beschriftung"/>
        <w:jc w:val="center"/>
      </w:pPr>
      <w:r>
        <w:t xml:space="preserve">Abb. 2 - </w:t>
      </w:r>
      <w:r>
        <w:rPr>
          <w:noProof/>
        </w:rPr>
        <w:t xml:space="preserve"> Wasserprobe vor und nach der Titration mit einer EDTA-Lösung.</w:t>
      </w:r>
    </w:p>
    <w:p w:rsidR="00E43C6A" w:rsidRPr="00743097" w:rsidRDefault="00E43C6A" w:rsidP="00E43C6A">
      <w:pPr>
        <w:tabs>
          <w:tab w:val="left" w:pos="1701"/>
          <w:tab w:val="left" w:pos="1985"/>
        </w:tabs>
        <w:ind w:left="1985" w:hanging="1985"/>
        <w:rPr>
          <w:u w:val="single"/>
        </w:rPr>
      </w:pPr>
      <w:r>
        <w:t>Deutung:</w:t>
      </w:r>
      <w:r>
        <w:tab/>
      </w:r>
      <w:r>
        <w:tab/>
      </w:r>
      <w:r w:rsidRPr="00743097">
        <w:rPr>
          <w:u w:val="single"/>
        </w:rPr>
        <w:t xml:space="preserve">nach Ammoniakzugabe: </w:t>
      </w:r>
    </w:p>
    <w:p w:rsidR="00E43C6A" w:rsidRDefault="00E43C6A" w:rsidP="00E43C6A">
      <w:pPr>
        <w:tabs>
          <w:tab w:val="left" w:pos="1701"/>
          <w:tab w:val="left" w:pos="1985"/>
        </w:tabs>
        <w:ind w:left="1985" w:hanging="1985"/>
        <w:rPr>
          <w:rFonts w:asciiTheme="majorHAnsi" w:hAnsiTheme="majorHAnsi"/>
          <w:vertAlign w:val="subscript"/>
        </w:rPr>
      </w:pPr>
      <w:r>
        <w:tab/>
      </w:r>
      <w:r>
        <w:tab/>
      </w:r>
      <w:r w:rsidRPr="00743097">
        <w:rPr>
          <w:rFonts w:asciiTheme="majorHAnsi" w:hAnsiTheme="majorHAnsi"/>
        </w:rPr>
        <w:t>Ca</w:t>
      </w:r>
      <w:r w:rsidRPr="00743097">
        <w:rPr>
          <w:rFonts w:asciiTheme="majorHAnsi" w:hAnsiTheme="majorHAnsi"/>
          <w:vertAlign w:val="superscript"/>
        </w:rPr>
        <w:t>2+</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r w:rsidRPr="00743097">
        <w:rPr>
          <w:rFonts w:asciiTheme="majorHAnsi" w:hAnsiTheme="majorHAnsi"/>
        </w:rPr>
        <w:t xml:space="preserve"> + 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rPr>
        <w:t xml:space="preserve"> </w:t>
      </w:r>
      <w:r>
        <w:rPr>
          <w:noProof/>
          <w:lang w:eastAsia="de-DE"/>
        </w:rPr>
        <w:drawing>
          <wp:inline distT="0" distB="0" distL="0" distR="0" wp14:anchorId="35F321B2" wp14:editId="4B60714C">
            <wp:extent cx="171450" cy="133350"/>
            <wp:effectExtent l="0" t="0" r="0" b="0"/>
            <wp:docPr id="41" name="Grafik 41"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math/0/3/1/0313592021a3e7539dd674cd7b9e4988.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sidRPr="00743097">
        <w:rPr>
          <w:rFonts w:asciiTheme="majorHAnsi" w:hAnsiTheme="majorHAnsi"/>
        </w:rPr>
        <w:t xml:space="preserve"> [</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p>
    <w:p w:rsidR="00E43C6A" w:rsidRPr="00743097" w:rsidRDefault="00E43C6A" w:rsidP="00E43C6A">
      <w:pPr>
        <w:tabs>
          <w:tab w:val="left" w:pos="1701"/>
          <w:tab w:val="left" w:pos="1985"/>
        </w:tabs>
        <w:ind w:left="1985" w:hanging="1985"/>
        <w:rPr>
          <w:rFonts w:asciiTheme="majorHAnsi" w:hAnsiTheme="majorHAnsi"/>
          <w:u w:val="single"/>
        </w:rPr>
      </w:pPr>
      <w:r>
        <w:rPr>
          <w:rFonts w:asciiTheme="majorHAnsi" w:hAnsiTheme="majorHAnsi"/>
        </w:rPr>
        <w:tab/>
      </w:r>
      <w:r>
        <w:rPr>
          <w:rFonts w:asciiTheme="majorHAnsi" w:hAnsiTheme="majorHAnsi"/>
        </w:rPr>
        <w:tab/>
      </w:r>
      <w:r>
        <w:rPr>
          <w:rFonts w:asciiTheme="majorHAnsi" w:hAnsiTheme="majorHAnsi"/>
          <w:u w:val="single"/>
        </w:rPr>
        <w:t>n</w:t>
      </w:r>
      <w:r w:rsidRPr="00743097">
        <w:rPr>
          <w:rFonts w:asciiTheme="majorHAnsi" w:hAnsiTheme="majorHAnsi"/>
          <w:u w:val="single"/>
        </w:rPr>
        <w:t>ach EDTA-Zugabe:</w:t>
      </w:r>
    </w:p>
    <w:p w:rsidR="00E43C6A" w:rsidRDefault="00E43C6A" w:rsidP="00E43C6A">
      <w:pPr>
        <w:tabs>
          <w:tab w:val="left" w:pos="1701"/>
          <w:tab w:val="left" w:pos="1985"/>
        </w:tabs>
        <w:ind w:left="1985" w:hanging="1985"/>
        <w:rPr>
          <w:rFonts w:asciiTheme="majorHAnsi" w:hAnsiTheme="majorHAnsi"/>
          <w:vertAlign w:val="subscript"/>
        </w:rPr>
      </w:pPr>
      <w:r w:rsidRPr="00743097">
        <w:rPr>
          <w:rFonts w:asciiTheme="majorHAnsi" w:hAnsiTheme="majorHAnsi"/>
          <w:vertAlign w:val="subscript"/>
        </w:rPr>
        <w:tab/>
      </w:r>
      <w:r w:rsidRPr="00743097">
        <w:rPr>
          <w:rFonts w:asciiTheme="majorHAnsi" w:hAnsiTheme="majorHAnsi"/>
          <w:vertAlign w:val="subscript"/>
        </w:rPr>
        <w:tab/>
      </w:r>
      <w:r w:rsidRPr="00743097">
        <w:rPr>
          <w:rFonts w:asciiTheme="majorHAnsi" w:hAnsiTheme="majorHAnsi"/>
        </w:rPr>
        <w:t>[</w:t>
      </w:r>
      <w:proofErr w:type="spellStart"/>
      <w:r w:rsidRPr="00743097">
        <w:rPr>
          <w:rFonts w:asciiTheme="majorHAnsi" w:hAnsiTheme="majorHAnsi"/>
        </w:rPr>
        <w:t>Ca</w:t>
      </w:r>
      <w:proofErr w:type="spellEnd"/>
      <w:r w:rsidRPr="00743097">
        <w:rPr>
          <w:rFonts w:asciiTheme="majorHAnsi" w:hAnsiTheme="majorHAnsi"/>
        </w:rPr>
        <w:t>(</w:t>
      </w:r>
      <w:proofErr w:type="spellStart"/>
      <w:r w:rsidRPr="00743097">
        <w:rPr>
          <w:rFonts w:asciiTheme="majorHAnsi" w:hAnsiTheme="majorHAnsi"/>
        </w:rPr>
        <w:t>Ind</w:t>
      </w:r>
      <w:proofErr w:type="spellEnd"/>
      <w:r w:rsidRPr="00743097">
        <w:rPr>
          <w:rFonts w:asciiTheme="majorHAnsi" w:hAnsiTheme="majorHAnsi"/>
        </w:rPr>
        <w:t>)]</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 </w:t>
      </w:r>
      <w:r>
        <w:rPr>
          <w:rFonts w:asciiTheme="majorHAnsi" w:hAnsiTheme="majorHAnsi" w:cs="Times New Roman"/>
        </w:rPr>
        <w:t>H</w:t>
      </w:r>
      <w:r w:rsidRPr="00743097">
        <w:rPr>
          <w:rFonts w:asciiTheme="majorHAnsi" w:hAnsiTheme="majorHAnsi" w:cs="Times New Roman"/>
          <w:vertAlign w:val="subscript"/>
        </w:rPr>
        <w:t>2</w:t>
      </w:r>
      <w:r>
        <w:rPr>
          <w:rFonts w:asciiTheme="majorHAnsi" w:hAnsiTheme="majorHAnsi" w:cs="Times New Roman"/>
        </w:rPr>
        <w:t>edta</w:t>
      </w:r>
      <w:r w:rsidRPr="00743097">
        <w:rPr>
          <w:rFonts w:asciiTheme="majorHAnsi" w:hAnsiTheme="majorHAnsi" w:cs="Times New Roman"/>
          <w:vertAlign w:val="superscript"/>
        </w:rPr>
        <w:t>2</w:t>
      </w:r>
      <w:r w:rsidRPr="00743097">
        <w:rPr>
          <w:rFonts w:ascii="Times New Roman" w:hAnsi="Times New Roman" w:cs="Times New Roman"/>
          <w:vertAlign w:val="superscript"/>
        </w:rPr>
        <w:t>−</w:t>
      </w:r>
      <w:r>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sidRPr="00743097">
        <w:rPr>
          <w:rFonts w:asciiTheme="majorHAnsi" w:hAnsiTheme="majorHAnsi"/>
        </w:rPr>
        <w:t>+ OH</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Pr>
          <w:rFonts w:asciiTheme="majorHAnsi" w:hAnsiTheme="majorHAnsi" w:cs="Times New Roman"/>
        </w:rPr>
        <w:t xml:space="preserve"> </w:t>
      </w:r>
      <w:r>
        <w:rPr>
          <w:noProof/>
          <w:lang w:eastAsia="de-DE"/>
        </w:rPr>
        <w:drawing>
          <wp:inline distT="0" distB="0" distL="0" distR="0" wp14:anchorId="4DE73CF6" wp14:editId="3B1A86BA">
            <wp:extent cx="171450" cy="133350"/>
            <wp:effectExtent l="0" t="0" r="0" b="0"/>
            <wp:docPr id="45" name="Grafik 45" descr="https://upload.wikimedia.org/math/0/3/1/0313592021a3e7539dd674cd7b9e4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math/0/3/1/0313592021a3e7539dd674cd7b9e4988.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71450" cy="133350"/>
                    </a:xfrm>
                    <a:prstGeom prst="rect">
                      <a:avLst/>
                    </a:prstGeom>
                    <a:noFill/>
                    <a:ln>
                      <a:noFill/>
                    </a:ln>
                  </pic:spPr>
                </pic:pic>
              </a:graphicData>
            </a:graphic>
          </wp:inline>
        </w:drawing>
      </w:r>
      <w:r>
        <w:rPr>
          <w:rFonts w:asciiTheme="majorHAnsi" w:hAnsiTheme="majorHAnsi" w:cs="Times New Roman"/>
        </w:rPr>
        <w:t xml:space="preserve"> </w:t>
      </w:r>
      <w:r w:rsidRPr="00743097">
        <w:rPr>
          <w:rFonts w:asciiTheme="majorHAnsi" w:hAnsiTheme="majorHAnsi"/>
        </w:rPr>
        <w:t>[</w:t>
      </w:r>
      <w:proofErr w:type="spellStart"/>
      <w:r w:rsidRPr="00743097">
        <w:rPr>
          <w:rFonts w:asciiTheme="majorHAnsi" w:hAnsiTheme="majorHAnsi"/>
        </w:rPr>
        <w:t>Ca</w:t>
      </w:r>
      <w:proofErr w:type="spellEnd"/>
      <w:r>
        <w:rPr>
          <w:rFonts w:asciiTheme="majorHAnsi" w:hAnsiTheme="majorHAnsi"/>
        </w:rPr>
        <w:t>(</w:t>
      </w:r>
      <w:proofErr w:type="spellStart"/>
      <w:r>
        <w:rPr>
          <w:rFonts w:asciiTheme="majorHAnsi" w:hAnsiTheme="majorHAnsi"/>
        </w:rPr>
        <w:t>edta</w:t>
      </w:r>
      <w:proofErr w:type="spellEnd"/>
      <w:r w:rsidRPr="00743097">
        <w:rPr>
          <w:rFonts w:asciiTheme="majorHAnsi" w:hAnsiTheme="majorHAnsi"/>
        </w:rPr>
        <w:t>)]</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cs="Times New Roman"/>
        </w:rPr>
        <w:t xml:space="preserve"> </w:t>
      </w:r>
      <w:r w:rsidRPr="00743097">
        <w:rPr>
          <w:rFonts w:asciiTheme="majorHAnsi" w:hAnsiTheme="majorHAnsi" w:cs="Times New Roman"/>
          <w:vertAlign w:val="subscript"/>
        </w:rPr>
        <w:t>(</w:t>
      </w:r>
      <w:proofErr w:type="spellStart"/>
      <w:r w:rsidRPr="00743097">
        <w:rPr>
          <w:rFonts w:asciiTheme="majorHAnsi" w:hAnsiTheme="majorHAnsi" w:cs="Times New Roman"/>
          <w:vertAlign w:val="subscript"/>
        </w:rPr>
        <w:t>aq</w:t>
      </w:r>
      <w:proofErr w:type="spellEnd"/>
      <w:r w:rsidRPr="00743097">
        <w:rPr>
          <w:rFonts w:asciiTheme="majorHAnsi" w:hAnsiTheme="majorHAnsi" w:cs="Times New Roman"/>
          <w:vertAlign w:val="subscript"/>
        </w:rPr>
        <w:t>)</w:t>
      </w:r>
      <w:r w:rsidRPr="00743097">
        <w:rPr>
          <w:rFonts w:asciiTheme="majorHAnsi" w:hAnsiTheme="majorHAnsi" w:cs="Times New Roman"/>
        </w:rPr>
        <w:t xml:space="preserve"> </w:t>
      </w:r>
      <w:r w:rsidRPr="00743097">
        <w:rPr>
          <w:rFonts w:asciiTheme="majorHAnsi" w:hAnsiTheme="majorHAnsi"/>
        </w:rPr>
        <w:t>+ H</w:t>
      </w:r>
      <w:r w:rsidRPr="00743097">
        <w:rPr>
          <w:rFonts w:asciiTheme="majorHAnsi" w:hAnsiTheme="majorHAnsi"/>
          <w:vertAlign w:val="subscript"/>
        </w:rPr>
        <w:t>2</w:t>
      </w:r>
      <w:r w:rsidRPr="00743097">
        <w:rPr>
          <w:rFonts w:asciiTheme="majorHAnsi" w:hAnsiTheme="majorHAnsi"/>
        </w:rPr>
        <w:t xml:space="preserve">O </w:t>
      </w:r>
      <w:r w:rsidRPr="00743097">
        <w:rPr>
          <w:rFonts w:asciiTheme="majorHAnsi" w:hAnsiTheme="majorHAnsi"/>
          <w:vertAlign w:val="subscript"/>
        </w:rPr>
        <w:t>(l)</w:t>
      </w:r>
      <w:r>
        <w:rPr>
          <w:rFonts w:asciiTheme="majorHAnsi" w:hAnsiTheme="majorHAnsi"/>
        </w:rPr>
        <w:t xml:space="preserve"> + </w:t>
      </w:r>
      <w:r w:rsidRPr="00743097">
        <w:rPr>
          <w:rFonts w:asciiTheme="majorHAnsi" w:hAnsiTheme="majorHAnsi"/>
        </w:rPr>
        <w:t>HInd</w:t>
      </w:r>
      <w:r w:rsidRPr="00743097">
        <w:rPr>
          <w:rFonts w:asciiTheme="majorHAnsi" w:hAnsiTheme="majorHAnsi"/>
          <w:vertAlign w:val="superscript"/>
        </w:rPr>
        <w:t>2</w:t>
      </w:r>
      <w:r w:rsidRPr="00743097">
        <w:rPr>
          <w:rFonts w:asciiTheme="majorHAnsi" w:hAnsiTheme="majorHAnsi" w:cs="Times New Roman"/>
          <w:vertAlign w:val="superscript"/>
        </w:rPr>
        <w:t>−</w:t>
      </w:r>
      <w:r w:rsidRPr="00743097">
        <w:rPr>
          <w:rFonts w:asciiTheme="majorHAnsi" w:hAnsiTheme="majorHAnsi"/>
        </w:rPr>
        <w:t xml:space="preserve"> </w:t>
      </w:r>
      <w:r w:rsidRPr="00743097">
        <w:rPr>
          <w:rFonts w:asciiTheme="majorHAnsi" w:hAnsiTheme="majorHAnsi"/>
          <w:vertAlign w:val="subscript"/>
        </w:rPr>
        <w:t>(</w:t>
      </w:r>
      <w:proofErr w:type="spellStart"/>
      <w:r w:rsidRPr="00743097">
        <w:rPr>
          <w:rFonts w:asciiTheme="majorHAnsi" w:hAnsiTheme="majorHAnsi"/>
          <w:vertAlign w:val="subscript"/>
        </w:rPr>
        <w:t>aq</w:t>
      </w:r>
      <w:proofErr w:type="spellEnd"/>
      <w:r w:rsidRPr="00743097">
        <w:rPr>
          <w:rFonts w:asciiTheme="majorHAnsi" w:hAnsiTheme="majorHAnsi"/>
          <w:vertAlign w:val="subscript"/>
        </w:rPr>
        <w:t>)</w:t>
      </w:r>
    </w:p>
    <w:p w:rsidR="00E43C6A" w:rsidRDefault="00E43C6A" w:rsidP="00E43C6A">
      <w:pPr>
        <w:tabs>
          <w:tab w:val="left" w:pos="1701"/>
          <w:tab w:val="left" w:pos="1985"/>
        </w:tabs>
        <w:ind w:left="1985" w:hanging="1985"/>
        <w:rPr>
          <w:rFonts w:asciiTheme="majorHAnsi" w:hAnsiTheme="majorHAnsi"/>
        </w:rPr>
      </w:pPr>
      <w:r>
        <w:rPr>
          <w:rFonts w:asciiTheme="majorHAnsi" w:hAnsiTheme="majorHAnsi"/>
          <w:vertAlign w:val="subscript"/>
        </w:rPr>
        <w:tab/>
      </w:r>
      <w:r>
        <w:rPr>
          <w:rFonts w:asciiTheme="majorHAnsi" w:hAnsiTheme="majorHAnsi"/>
          <w:vertAlign w:val="subscript"/>
        </w:rPr>
        <w:tab/>
      </w:r>
      <w:r>
        <w:rPr>
          <w:rFonts w:asciiTheme="majorHAnsi" w:hAnsiTheme="majorHAnsi"/>
        </w:rPr>
        <w:t>Die Wasserhärte kann nun wie folgt berechnet werden:</w:t>
      </w:r>
    </w:p>
    <w:p w:rsidR="00E43C6A" w:rsidRDefault="00E43C6A" w:rsidP="00E43C6A">
      <w:pPr>
        <w:tabs>
          <w:tab w:val="left" w:pos="1701"/>
          <w:tab w:val="left" w:pos="1985"/>
        </w:tabs>
        <w:ind w:left="1985" w:hanging="1985"/>
        <w:rPr>
          <w:rFonts w:asciiTheme="majorHAnsi" w:eastAsiaTheme="minorEastAsia" w:hAnsiTheme="majorHAnsi"/>
        </w:rPr>
      </w:pPr>
      <w:r>
        <w:rPr>
          <w:rFonts w:asciiTheme="majorHAnsi" w:hAnsiTheme="majorHAnsi"/>
        </w:rPr>
        <w:tab/>
      </w:r>
      <w:r>
        <w:rPr>
          <w:rFonts w:asciiTheme="majorHAnsi" w:hAnsiTheme="majorHAnsi"/>
        </w:rPr>
        <w:tab/>
        <w:t xml:space="preserve"> </w:t>
      </w:r>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 xml:space="preserve">EDTA-Verbrauch </m:t>
            </m:r>
            <m:d>
              <m:dPr>
                <m:begChr m:val="["/>
                <m:endChr m:val="]"/>
                <m:ctrlPr>
                  <w:rPr>
                    <w:rFonts w:ascii="Cambria Math" w:hAnsi="Cambria Math"/>
                    <w:i/>
                  </w:rPr>
                </m:ctrlPr>
              </m:dPr>
              <m:e>
                <m:r>
                  <w:rPr>
                    <w:rFonts w:ascii="Cambria Math" w:hAnsi="Cambria Math"/>
                  </w:rPr>
                  <m:t>ml</m:t>
                </m:r>
              </m:e>
            </m:d>
            <m:r>
              <w:rPr>
                <w:rFonts w:ascii="Cambria Math" w:hAnsi="Cambria Math"/>
              </w:rPr>
              <m:t>∙c</m:t>
            </m:r>
            <m:d>
              <m:dPr>
                <m:ctrlPr>
                  <w:rPr>
                    <w:rFonts w:ascii="Cambria Math" w:hAnsi="Cambria Math"/>
                    <w:i/>
                  </w:rPr>
                </m:ctrlPr>
              </m:dPr>
              <m:e>
                <m:r>
                  <w:rPr>
                    <w:rFonts w:ascii="Cambria Math" w:hAnsi="Cambria Math"/>
                  </w:rPr>
                  <m:t>EDTA-Lsg.</m:t>
                </m:r>
              </m:e>
            </m:d>
            <m:r>
              <w:rPr>
                <w:rFonts w:ascii="Cambria Math" w:hAnsi="Cambria Math"/>
              </w:rPr>
              <m:t>[</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m:t>
            </m:r>
          </m:num>
          <m:den>
            <m:r>
              <w:rPr>
                <w:rFonts w:ascii="Cambria Math" w:hAnsi="Cambria Math"/>
              </w:rPr>
              <m:t>V</m:t>
            </m:r>
            <m:d>
              <m:dPr>
                <m:ctrlPr>
                  <w:rPr>
                    <w:rFonts w:ascii="Cambria Math" w:hAnsi="Cambria Math"/>
                    <w:i/>
                  </w:rPr>
                </m:ctrlPr>
              </m:dPr>
              <m:e>
                <m:r>
                  <w:rPr>
                    <w:rFonts w:ascii="Cambria Math" w:hAnsi="Cambria Math"/>
                  </w:rPr>
                  <m:t>Probe</m:t>
                </m:r>
              </m:e>
            </m:d>
            <m:r>
              <w:rPr>
                <w:rFonts w:ascii="Cambria Math" w:hAnsi="Cambria Math"/>
              </w:rPr>
              <m:t>[ml]</m:t>
            </m:r>
          </m:den>
        </m:f>
      </m:oMath>
    </w:p>
    <w:p w:rsidR="00E43C6A" w:rsidRPr="00191B25" w:rsidRDefault="00E43C6A" w:rsidP="00E43C6A">
      <w:pPr>
        <w:tabs>
          <w:tab w:val="left" w:pos="1701"/>
          <w:tab w:val="left" w:pos="1985"/>
        </w:tabs>
        <w:ind w:left="1985" w:hanging="1985"/>
        <w:rPr>
          <w:rFonts w:asciiTheme="majorHAnsi" w:eastAsiaTheme="minorEastAsia" w:hAnsiTheme="majorHAnsi"/>
          <w:u w:val="single"/>
        </w:rPr>
      </w:pPr>
      <w:r>
        <w:rPr>
          <w:rFonts w:asciiTheme="majorHAnsi" w:eastAsiaTheme="minorEastAsia" w:hAnsiTheme="majorHAnsi"/>
        </w:rPr>
        <w:tab/>
      </w:r>
      <w:r>
        <w:rPr>
          <w:rFonts w:asciiTheme="majorHAnsi" w:eastAsiaTheme="minorEastAsia" w:hAnsiTheme="majorHAnsi"/>
        </w:rPr>
        <w:tab/>
      </w:r>
      <w:r w:rsidRPr="00191B25">
        <w:rPr>
          <w:rFonts w:asciiTheme="majorHAnsi" w:eastAsiaTheme="minorEastAsia" w:hAnsiTheme="majorHAnsi"/>
          <w:u w:val="single"/>
        </w:rPr>
        <w:t>Beis</w:t>
      </w:r>
      <w:r>
        <w:rPr>
          <w:rFonts w:asciiTheme="majorHAnsi" w:eastAsiaTheme="minorEastAsia" w:hAnsiTheme="majorHAnsi"/>
          <w:u w:val="single"/>
        </w:rPr>
        <w:t>pielrechnung für Leitungswasser (1 mmol/L = 5,6 °</w:t>
      </w:r>
      <w:proofErr w:type="spellStart"/>
      <w:r>
        <w:rPr>
          <w:rFonts w:asciiTheme="majorHAnsi" w:eastAsiaTheme="minorEastAsia" w:hAnsiTheme="majorHAnsi"/>
          <w:u w:val="single"/>
        </w:rPr>
        <w:t>dH</w:t>
      </w:r>
      <w:proofErr w:type="spellEnd"/>
      <w:r>
        <w:rPr>
          <w:rFonts w:asciiTheme="majorHAnsi" w:eastAsiaTheme="minorEastAsia" w:hAnsiTheme="majorHAnsi"/>
          <w:u w:val="single"/>
        </w:rPr>
        <w:t>):</w:t>
      </w:r>
      <w:r w:rsidRPr="00191B25">
        <w:rPr>
          <w:rFonts w:asciiTheme="majorHAnsi" w:eastAsiaTheme="minorEastAsia" w:hAnsiTheme="majorHAnsi"/>
          <w:u w:val="single"/>
        </w:rPr>
        <w:t xml:space="preserve"> </w:t>
      </w:r>
    </w:p>
    <w:p w:rsidR="00E43C6A" w:rsidRDefault="00E43C6A" w:rsidP="00E43C6A">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m:oMath>
        <m:r>
          <w:rPr>
            <w:rFonts w:ascii="Cambria Math" w:hAnsi="Cambria Math"/>
          </w:rPr>
          <m:t xml:space="preserve">Wasserhärte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mmol</m:t>
                </m:r>
              </m:num>
              <m:den>
                <m:r>
                  <w:rPr>
                    <w:rFonts w:ascii="Cambria Math" w:hAnsi="Cambria Math"/>
                  </w:rPr>
                  <m:t>L</m:t>
                </m:r>
              </m:den>
            </m:f>
          </m:e>
        </m:d>
        <m:r>
          <w:rPr>
            <w:rFonts w:ascii="Cambria Math" w:hAnsi="Cambria Math"/>
          </w:rPr>
          <m:t xml:space="preserve">= </m:t>
        </m:r>
        <m:f>
          <m:fPr>
            <m:ctrlPr>
              <w:rPr>
                <w:rFonts w:ascii="Cambria Math" w:hAnsi="Cambria Math"/>
                <w:i/>
              </w:rPr>
            </m:ctrlPr>
          </m:fPr>
          <m:num>
            <m:r>
              <w:rPr>
                <w:rFonts w:ascii="Cambria Math" w:hAnsi="Cambria Math"/>
              </w:rPr>
              <m:t>14 ml ∙10</m:t>
            </m:r>
            <m:f>
              <m:fPr>
                <m:ctrlPr>
                  <w:rPr>
                    <w:rFonts w:ascii="Cambria Math" w:hAnsi="Cambria Math"/>
                    <w:i/>
                  </w:rPr>
                </m:ctrlPr>
              </m:fPr>
              <m:num>
                <m:r>
                  <w:rPr>
                    <w:rFonts w:ascii="Cambria Math" w:hAnsi="Cambria Math"/>
                  </w:rPr>
                  <m:t>mmol</m:t>
                </m:r>
              </m:num>
              <m:den>
                <m:r>
                  <w:rPr>
                    <w:rFonts w:ascii="Cambria Math" w:hAnsi="Cambria Math"/>
                  </w:rPr>
                  <m:t>L</m:t>
                </m:r>
              </m:den>
            </m:f>
          </m:num>
          <m:den>
            <m:r>
              <w:rPr>
                <w:rFonts w:ascii="Cambria Math" w:hAnsi="Cambria Math"/>
              </w:rPr>
              <m:t>100 ml</m:t>
            </m:r>
          </m:den>
        </m:f>
        <m:r>
          <w:rPr>
            <w:rFonts w:ascii="Cambria Math" w:hAnsi="Cambria Math"/>
          </w:rPr>
          <m:t>=1,4</m:t>
        </m:r>
        <m:f>
          <m:fPr>
            <m:ctrlPr>
              <w:rPr>
                <w:rFonts w:ascii="Cambria Math" w:hAnsi="Cambria Math"/>
                <w:i/>
              </w:rPr>
            </m:ctrlPr>
          </m:fPr>
          <m:num>
            <m:r>
              <w:rPr>
                <w:rFonts w:ascii="Cambria Math" w:hAnsi="Cambria Math"/>
              </w:rPr>
              <m:t>mmol</m:t>
            </m:r>
          </m:num>
          <m:den>
            <m:r>
              <w:rPr>
                <w:rFonts w:ascii="Cambria Math" w:hAnsi="Cambria Math"/>
              </w:rPr>
              <m:t>L</m:t>
            </m:r>
          </m:den>
        </m:f>
        <m:r>
          <w:rPr>
            <w:rFonts w:ascii="Cambria Math" w:hAnsi="Cambria Math"/>
          </w:rPr>
          <m:t>=7,84 °dH</m:t>
        </m:r>
      </m:oMath>
    </w:p>
    <w:p w:rsidR="00E43C6A" w:rsidRDefault="00E43C6A" w:rsidP="00E43C6A">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Die Berechnung für die anderen Wasserproben erfolgt analog.</w:t>
      </w:r>
    </w:p>
    <w:p w:rsidR="00E43C6A" w:rsidRDefault="00E43C6A" w:rsidP="00E43C6A">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Bachwasser: 6,5 mmol/L = 36,4 °</w:t>
      </w:r>
      <w:proofErr w:type="spellStart"/>
      <w:r>
        <w:rPr>
          <w:rFonts w:asciiTheme="majorHAnsi" w:eastAsiaTheme="minorEastAsia" w:hAnsiTheme="majorHAnsi"/>
        </w:rPr>
        <w:t>dH</w:t>
      </w:r>
      <w:proofErr w:type="spellEnd"/>
    </w:p>
    <w:p w:rsidR="00E43C6A" w:rsidRDefault="00E43C6A" w:rsidP="00E43C6A">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Regenwasser: 0,25 mmol/L = 1,4 °</w:t>
      </w:r>
      <w:proofErr w:type="spellStart"/>
      <w:r>
        <w:rPr>
          <w:rFonts w:asciiTheme="majorHAnsi" w:eastAsiaTheme="minorEastAsia" w:hAnsiTheme="majorHAnsi"/>
        </w:rPr>
        <w:t>dH</w:t>
      </w:r>
      <w:proofErr w:type="spellEnd"/>
    </w:p>
    <w:p w:rsidR="00E43C6A" w:rsidRPr="00351002" w:rsidRDefault="00E43C6A" w:rsidP="00E43C6A">
      <w:pPr>
        <w:tabs>
          <w:tab w:val="left" w:pos="1701"/>
          <w:tab w:val="left" w:pos="1985"/>
        </w:tabs>
        <w:ind w:left="1985" w:hanging="1985"/>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Destilliertes Wasser: 0,1 mmol/L = 0,56 °</w:t>
      </w:r>
      <w:proofErr w:type="spellStart"/>
      <w:r>
        <w:rPr>
          <w:rFonts w:asciiTheme="majorHAnsi" w:eastAsiaTheme="minorEastAsia" w:hAnsiTheme="majorHAnsi"/>
        </w:rPr>
        <w:t>dH</w:t>
      </w:r>
      <w:proofErr w:type="spellEnd"/>
      <w:r>
        <w:rPr>
          <w:rFonts w:asciiTheme="majorHAnsi" w:hAnsiTheme="majorHAnsi"/>
        </w:rPr>
        <w:tab/>
      </w:r>
    </w:p>
    <w:p w:rsidR="00E43C6A" w:rsidRDefault="00E43C6A" w:rsidP="00E43C6A">
      <w:pPr>
        <w:spacing w:line="276" w:lineRule="auto"/>
        <w:jc w:val="left"/>
      </w:pPr>
      <w:r>
        <w:t>Entsorgung:</w:t>
      </w:r>
      <w:r>
        <w:tab/>
        <w:t xml:space="preserve">           Die Entsorgung erfolgt über den Abfluss. </w:t>
      </w:r>
    </w:p>
    <w:p w:rsidR="00E43C6A" w:rsidRDefault="00E43C6A" w:rsidP="00E43C6A">
      <w:pPr>
        <w:tabs>
          <w:tab w:val="left" w:pos="1985"/>
        </w:tabs>
        <w:spacing w:line="276" w:lineRule="auto"/>
        <w:jc w:val="left"/>
        <w:rPr>
          <w:rFonts w:asciiTheme="majorHAnsi" w:hAnsiTheme="majorHAnsi"/>
        </w:rPr>
      </w:pPr>
      <w:r>
        <w:t>Literatur:</w:t>
      </w:r>
      <w:r>
        <w:tab/>
        <w:t>R. Herbst-Irmer, Skript für das Fortgeschrittenenpraktikum für Lehramts-</w:t>
      </w:r>
      <w:r>
        <w:tab/>
      </w:r>
      <w:proofErr w:type="spellStart"/>
      <w:r>
        <w:t>kandidaten</w:t>
      </w:r>
      <w:proofErr w:type="spellEnd"/>
      <w:r>
        <w:t>: Anorganische Chemie 2015</w:t>
      </w:r>
      <w:r>
        <w:tab/>
      </w:r>
    </w:p>
    <w:p w:rsidR="00E43C6A" w:rsidRDefault="00E43C6A" w:rsidP="00E43C6A">
      <w:pPr>
        <w:tabs>
          <w:tab w:val="left" w:pos="1701"/>
          <w:tab w:val="left" w:pos="1985"/>
        </w:tabs>
        <w:ind w:left="1980" w:hanging="1980"/>
      </w:pPr>
    </w:p>
    <w:p w:rsidR="002F6050" w:rsidRPr="00E43C6A" w:rsidRDefault="00E43C6A" w:rsidP="00E43C6A">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03AF73DA" wp14:editId="7CFC2358">
                <wp:extent cx="5873115" cy="809625"/>
                <wp:effectExtent l="0" t="0" r="13335" b="28575"/>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96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3C6A" w:rsidRPr="008360C0" w:rsidRDefault="00E43C6A" w:rsidP="00E43C6A">
                            <w:pPr>
                              <w:rPr>
                                <w:color w:val="auto"/>
                              </w:rPr>
                            </w:pPr>
                            <w:r>
                              <w:rPr>
                                <w:color w:val="auto"/>
                              </w:rPr>
                              <w:t>Bei diesem Versuch sollte darauf geachtet werden, dass die SuS die Versuchsanweisung genau befolgen. Vor allem bei der konzentrierten Ammoniaklösung sollte noch einmal die Gefahr der Verätzung besprochen werden.</w:t>
                            </w:r>
                          </w:p>
                        </w:txbxContent>
                      </wps:txbx>
                      <wps:bodyPr rot="0" vert="horz" wrap="square" lIns="91440" tIns="45720" rIns="91440" bIns="45720" anchor="t" anchorCtr="0" upright="1">
                        <a:noAutofit/>
                      </wps:bodyPr>
                    </wps:wsp>
                  </a:graphicData>
                </a:graphic>
              </wp:inline>
            </w:drawing>
          </mc:Choice>
          <mc:Fallback>
            <w:pict>
              <v:shape w14:anchorId="03AF73DA" id="Text Box 131" o:spid="_x0000_s1027" type="#_x0000_t202" style="width:462.4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" fillcolor="white [3201]" strokecolor="#ed7d31 [3205]" strokeweight="1pt">
                <v:stroke dashstyle="dash"/>
                <v:shadow color="#868686"/>
                <v:textbox>
                  <w:txbxContent>
                    <w:p w:rsidR="00E43C6A" w:rsidRPr="008360C0" w:rsidRDefault="00E43C6A" w:rsidP="00E43C6A">
                      <w:pPr>
                        <w:rPr>
                          <w:color w:val="auto"/>
                        </w:rPr>
                      </w:pPr>
                      <w:r>
                        <w:rPr>
                          <w:color w:val="auto"/>
                        </w:rPr>
                        <w:t>Bei diesem Versuch sollte darauf geachtet werden, dass die SuS die Versuchsanweisung genau befolgen. Vor allem bei der konzentrierten Ammoniaklösung sollte noch einmal die Gefahr der Verätzung besprochen werden.</w:t>
                      </w:r>
                    </w:p>
                  </w:txbxContent>
                </v:textbox>
                <w10:anchorlock/>
              </v:shape>
            </w:pict>
          </mc:Fallback>
        </mc:AlternateContent>
      </w:r>
    </w:p>
    <w:sectPr w:rsidR="002F6050" w:rsidRPr="00E43C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6A"/>
    <w:rsid w:val="00AF24C5"/>
    <w:rsid w:val="00E43C6A"/>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676DC-8B88-40CF-838F-D6371C75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43C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43C6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43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43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43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43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43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3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3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C6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43C6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43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43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43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43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43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43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3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43C6A"/>
    <w:pPr>
      <w:spacing w:line="240" w:lineRule="auto"/>
    </w:pPr>
    <w:rPr>
      <w:bCs/>
      <w:color w:val="auto"/>
      <w:sz w:val="18"/>
      <w:szCs w:val="18"/>
    </w:rPr>
  </w:style>
  <w:style w:type="character" w:styleId="Hyperlink">
    <w:name w:val="Hyperlink"/>
    <w:basedOn w:val="Absatz-Standardschriftart"/>
    <w:uiPriority w:val="99"/>
    <w:unhideWhenUsed/>
    <w:rsid w:val="00E43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2015-08-26T18:31:00Z</dcterms:created>
  <dcterms:modified xsi:type="dcterms:W3CDTF">2015-08-26T18:32:00Z</dcterms:modified>
</cp:coreProperties>
</file>