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76" w:rsidRPr="00E71176" w:rsidRDefault="00E71176" w:rsidP="00E71176">
      <w:pPr>
        <w:pStyle w:val="berschrift2"/>
        <w:numPr>
          <w:ilvl w:val="0"/>
          <w:numId w:val="0"/>
        </w:numPr>
        <w:ind w:left="576"/>
        <w:rPr>
          <w:rFonts w:ascii="Cambria" w:hAnsi="Cambria"/>
        </w:rPr>
      </w:pPr>
      <w:bookmarkStart w:id="0" w:name="_Toc426803487"/>
      <w:r w:rsidRPr="00E71176">
        <w:rPr>
          <w:rFonts w:ascii="Cambria" w:hAnsi="Cambria"/>
          <w:noProof/>
          <w:lang w:eastAsia="de-DE"/>
        </w:rPr>
        <mc:AlternateContent>
          <mc:Choice Requires="wps">
            <w:drawing>
              <wp:anchor distT="0" distB="0" distL="114300" distR="114300" simplePos="0" relativeHeight="251659264" behindDoc="0" locked="0" layoutInCell="1" allowOverlap="1" wp14:anchorId="3EEB7D4B" wp14:editId="6B327571">
                <wp:simplePos x="0" y="0"/>
                <wp:positionH relativeFrom="column">
                  <wp:posOffset>14605</wp:posOffset>
                </wp:positionH>
                <wp:positionV relativeFrom="paragraph">
                  <wp:posOffset>366395</wp:posOffset>
                </wp:positionV>
                <wp:extent cx="5873115" cy="1323975"/>
                <wp:effectExtent l="0" t="0" r="13335" b="28575"/>
                <wp:wrapSquare wrapText="bothSides"/>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3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1176" w:rsidRPr="00F31EBF" w:rsidRDefault="00E71176" w:rsidP="00E71176">
                            <w:pPr>
                              <w:rPr>
                                <w:color w:val="auto"/>
                              </w:rPr>
                            </w:pPr>
                            <w:r>
                              <w:rPr>
                                <w:color w:val="auto"/>
                              </w:rPr>
                              <w:t>Im folgenden Versuch soll eine Möglichkeit zur Bestimmung des Calciumgehaltes, welcher gemeinsam mit dem Magnesiumgehalt im Wasser verantwortlich ist für die Wasserhärte, gezeigt werden. Die SuS sollen hierbei Titrieren üben, da sie dieses auch im weiteren Schulverlauf noch häufig anwenden werden. Für die Deutung des Versuches wird Vorwissen zu Komplexen und Komplexbildung benötigt.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B7D4B" id="_x0000_t202" coordsize="21600,21600" o:spt="202" path="m,l,21600r21600,l21600,xe">
                <v:stroke joinstyle="miter"/>
                <v:path gradientshapeok="t" o:connecttype="rect"/>
              </v:shapetype>
              <v:shape id="Text Box 60" o:spid="_x0000_s1026" type="#_x0000_t202" style="position:absolute;left:0;text-align:left;margin-left:1.15pt;margin-top:28.85pt;width:462.4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JmJ7wIAACw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" fillcolor="white [3201]" strokecolor="#4472c4 [3208]" strokeweight="1pt">
                <v:stroke dashstyle="dash"/>
                <v:shadow color="#868686"/>
                <v:textbox>
                  <w:txbxContent>
                    <w:p w:rsidR="00E71176" w:rsidRPr="00F31EBF" w:rsidRDefault="00E71176" w:rsidP="00E71176">
                      <w:pPr>
                        <w:rPr>
                          <w:color w:val="auto"/>
                        </w:rPr>
                      </w:pPr>
                      <w:r>
                        <w:rPr>
                          <w:color w:val="auto"/>
                        </w:rPr>
                        <w:t>Im folgenden Versuch soll eine Möglichkeit zur Bestimmung des Calciumgehaltes, welcher gemeinsam mit dem Magnesiumgehalt im Wasser verantwortlich ist für die Wasserhärte, gezeigt werden. Die SuS sollen hierbei Titrieren üben, da sie dieses auch im weiteren Schulverlauf noch häufig anwenden werden. Für die Deutung des Versuches wird Vorwissen zu Komplexen und Komplexbildung benötigt.</w:t>
                      </w:r>
                    </w:p>
                  </w:txbxContent>
                </v:textbox>
                <w10:wrap type="square"/>
              </v:shape>
            </w:pict>
          </mc:Fallback>
        </mc:AlternateContent>
      </w:r>
      <w:r w:rsidRPr="00E71176">
        <w:rPr>
          <w:rFonts w:ascii="Cambria" w:hAnsi="Cambria"/>
        </w:rPr>
        <w:t>V2 - Ca</w:t>
      </w:r>
      <w:r w:rsidRPr="00E71176">
        <w:rPr>
          <w:rFonts w:ascii="Cambria" w:hAnsi="Cambria"/>
          <w:vertAlign w:val="superscript"/>
        </w:rPr>
        <w:t>2+</w:t>
      </w:r>
      <w:r w:rsidRPr="00E71176">
        <w:rPr>
          <w:rFonts w:ascii="Cambria" w:hAnsi="Cambria"/>
        </w:rPr>
        <w:t xml:space="preserve"> - Gehaltsbestimmung durch </w:t>
      </w:r>
      <w:proofErr w:type="spellStart"/>
      <w:r w:rsidRPr="00E71176">
        <w:rPr>
          <w:rFonts w:ascii="Cambria" w:hAnsi="Cambria"/>
        </w:rPr>
        <w:t>komplexometrische</w:t>
      </w:r>
      <w:proofErr w:type="spellEnd"/>
      <w:r w:rsidRPr="00E71176">
        <w:rPr>
          <w:rFonts w:ascii="Cambria" w:hAnsi="Cambria"/>
        </w:rPr>
        <w:t xml:space="preserve"> Titration</w:t>
      </w:r>
      <w:bookmarkStart w:id="1" w:name="_GoBack"/>
      <w:bookmarkEnd w:id="0"/>
      <w:bookmarkEnd w:id="1"/>
    </w:p>
    <w:p w:rsidR="00E71176" w:rsidRPr="00783D0A" w:rsidRDefault="00E71176" w:rsidP="00E71176"/>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71176" w:rsidRPr="009C5E28" w:rsidTr="00B27724">
        <w:tc>
          <w:tcPr>
            <w:tcW w:w="9322" w:type="dxa"/>
            <w:gridSpan w:val="9"/>
            <w:shd w:val="clear" w:color="auto" w:fill="4F81BD"/>
            <w:vAlign w:val="center"/>
          </w:tcPr>
          <w:p w:rsidR="00E71176" w:rsidRPr="00F31EBF" w:rsidRDefault="00E71176" w:rsidP="00B27724">
            <w:pPr>
              <w:spacing w:after="0"/>
              <w:jc w:val="center"/>
              <w:rPr>
                <w:b/>
                <w:bCs/>
                <w:color w:val="FFFFFF" w:themeColor="background1"/>
              </w:rPr>
            </w:pPr>
            <w:r w:rsidRPr="00F31EBF">
              <w:rPr>
                <w:b/>
                <w:bCs/>
                <w:color w:val="FFFFFF" w:themeColor="background1"/>
              </w:rPr>
              <w:t>Gefahrenstoffe</w:t>
            </w:r>
          </w:p>
        </w:tc>
      </w:tr>
      <w:tr w:rsidR="00E71176" w:rsidRPr="009C5E28" w:rsidTr="00B2772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71176" w:rsidRPr="009C5E28" w:rsidRDefault="00E71176" w:rsidP="00B27724">
            <w:pPr>
              <w:spacing w:after="0" w:line="276" w:lineRule="auto"/>
              <w:jc w:val="center"/>
              <w:rPr>
                <w:b/>
                <w:bCs/>
              </w:rPr>
            </w:pPr>
            <w:r>
              <w:rPr>
                <w:sz w:val="20"/>
              </w:rPr>
              <w:t>15% Natronlauge</w:t>
            </w:r>
          </w:p>
        </w:tc>
        <w:tc>
          <w:tcPr>
            <w:tcW w:w="3177" w:type="dxa"/>
            <w:gridSpan w:val="3"/>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sidRPr="009C5E28">
              <w:rPr>
                <w:sz w:val="20"/>
              </w:rPr>
              <w:t xml:space="preserve">H: </w:t>
            </w:r>
            <w:r>
              <w:t>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71176" w:rsidRPr="009C5E28" w:rsidRDefault="00E71176" w:rsidP="00B27724">
            <w:pPr>
              <w:spacing w:after="0"/>
              <w:jc w:val="center"/>
            </w:pPr>
            <w:r w:rsidRPr="009C5E28">
              <w:rPr>
                <w:sz w:val="20"/>
              </w:rPr>
              <w:t xml:space="preserve">P: </w:t>
            </w:r>
            <w:r>
              <w:rPr>
                <w:sz w:val="20"/>
              </w:rPr>
              <w:t xml:space="preserve">280, 301+330+331, </w:t>
            </w:r>
            <w:r w:rsidRPr="009C5E28">
              <w:rPr>
                <w:sz w:val="20"/>
              </w:rPr>
              <w:t>​</w:t>
            </w:r>
            <w:hyperlink r:id="rId5" w:anchor="P-S.C3.A4tze" w:tooltip="H- und P-Sätze" w:history="1">
              <w:r>
                <w:rPr>
                  <w:rStyle w:val="Hyperlink"/>
                  <w:color w:val="auto"/>
                  <w:sz w:val="20"/>
                </w:rPr>
                <w:t>305+351</w:t>
              </w:r>
              <w:r w:rsidRPr="009C5E28">
                <w:rPr>
                  <w:rStyle w:val="Hyperlink"/>
                  <w:color w:val="auto"/>
                  <w:sz w:val="20"/>
                </w:rPr>
                <w:t>+33</w:t>
              </w:r>
            </w:hyperlink>
            <w:r>
              <w:rPr>
                <w:rStyle w:val="Hyperlink"/>
                <w:color w:val="auto"/>
                <w:sz w:val="20"/>
              </w:rPr>
              <w:t>8, 308+310</w:t>
            </w:r>
          </w:p>
        </w:tc>
      </w:tr>
      <w:tr w:rsidR="00E71176" w:rsidRPr="009C5E28" w:rsidTr="00B27724">
        <w:tc>
          <w:tcPr>
            <w:tcW w:w="1009" w:type="dxa"/>
            <w:tcBorders>
              <w:top w:val="single" w:sz="8" w:space="0" w:color="4F81BD"/>
              <w:left w:val="single" w:sz="8" w:space="0" w:color="4F81BD"/>
              <w:bottom w:val="single" w:sz="8" w:space="0" w:color="4F81BD"/>
            </w:tcBorders>
            <w:shd w:val="clear" w:color="auto" w:fill="auto"/>
            <w:vAlign w:val="center"/>
          </w:tcPr>
          <w:p w:rsidR="00E71176" w:rsidRPr="009C5E28" w:rsidRDefault="00E71176" w:rsidP="00B27724">
            <w:pPr>
              <w:spacing w:after="0"/>
              <w:jc w:val="center"/>
              <w:rPr>
                <w:b/>
                <w:bCs/>
              </w:rPr>
            </w:pPr>
            <w:r>
              <w:rPr>
                <w:b/>
                <w:noProof/>
                <w:lang w:eastAsia="de-DE"/>
              </w:rPr>
              <w:drawing>
                <wp:inline distT="0" distB="0" distL="0" distR="0" wp14:anchorId="09D07008" wp14:editId="1C669FAD">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28086F3D" wp14:editId="66A04442">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2D6794A9" wp14:editId="79BED475">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28E98E22" wp14:editId="22FE6B1F">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156043A7" wp14:editId="29102AC5">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6C459DE2" wp14:editId="45C6CA88">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76549EBE" wp14:editId="275AC8F9">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60DCCC4D" wp14:editId="119689A1">
                  <wp:extent cx="511175" cy="511175"/>
                  <wp:effectExtent l="0" t="0" r="3175" b="317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71176" w:rsidRPr="009C5E28" w:rsidRDefault="00E71176" w:rsidP="00B27724">
            <w:pPr>
              <w:spacing w:after="0"/>
              <w:jc w:val="center"/>
            </w:pPr>
            <w:r>
              <w:rPr>
                <w:noProof/>
                <w:lang w:eastAsia="de-DE"/>
              </w:rPr>
              <w:drawing>
                <wp:inline distT="0" distB="0" distL="0" distR="0" wp14:anchorId="572AAF4B" wp14:editId="1B93A6DE">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E71176" w:rsidRDefault="00E71176" w:rsidP="00E71176">
      <w:pPr>
        <w:tabs>
          <w:tab w:val="left" w:pos="1701"/>
          <w:tab w:val="left" w:pos="1985"/>
        </w:tabs>
        <w:ind w:left="1980" w:hanging="1980"/>
      </w:pPr>
    </w:p>
    <w:p w:rsidR="00E71176" w:rsidRDefault="00E71176" w:rsidP="00E71176">
      <w:pPr>
        <w:tabs>
          <w:tab w:val="left" w:pos="1701"/>
          <w:tab w:val="left" w:pos="1985"/>
        </w:tabs>
        <w:ind w:left="1980" w:hanging="1980"/>
      </w:pPr>
      <w:r>
        <w:t xml:space="preserve">Materialien: </w:t>
      </w:r>
      <w:r>
        <w:tab/>
      </w:r>
      <w:r>
        <w:tab/>
        <w:t>2 Bechergläser, Bürette mit Halterung, Stativ, Magnetrührer, Pipette</w:t>
      </w:r>
    </w:p>
    <w:p w:rsidR="00E71176" w:rsidRPr="00ED07C2" w:rsidRDefault="00E71176" w:rsidP="00E71176">
      <w:pPr>
        <w:tabs>
          <w:tab w:val="left" w:pos="1701"/>
          <w:tab w:val="left" w:pos="1985"/>
        </w:tabs>
        <w:ind w:left="1980" w:hanging="1980"/>
      </w:pPr>
      <w:r>
        <w:t>Chemikalien:</w:t>
      </w:r>
      <w:r>
        <w:tab/>
      </w:r>
      <w:r>
        <w:tab/>
        <w:t xml:space="preserve">Wasserproben (Leitungswasser, destilliertes Wasser, Bachwasser und Regenwasser), EDTA, 15%ige Natronlauge, </w:t>
      </w:r>
      <w:proofErr w:type="spellStart"/>
      <w:r>
        <w:t>Calconcarbonsäure</w:t>
      </w:r>
      <w:proofErr w:type="spellEnd"/>
    </w:p>
    <w:p w:rsidR="00E71176" w:rsidRDefault="00E71176" w:rsidP="00E71176">
      <w:pPr>
        <w:tabs>
          <w:tab w:val="left" w:pos="1701"/>
          <w:tab w:val="left" w:pos="1985"/>
        </w:tabs>
        <w:ind w:left="1980" w:hanging="1980"/>
      </w:pPr>
      <w:r>
        <w:t xml:space="preserve">Durchführung: </w:t>
      </w:r>
      <w:r>
        <w:tab/>
      </w:r>
      <w:r>
        <w:tab/>
        <w:t xml:space="preserve">Zunächst werden 50 </w:t>
      </w:r>
      <w:proofErr w:type="spellStart"/>
      <w:r>
        <w:t>mL</w:t>
      </w:r>
      <w:proofErr w:type="spellEnd"/>
      <w:r>
        <w:t xml:space="preserve"> einer 0,01 M EDTA-Lösung hergestellt. 30 ml einer Wasserprobe werden in ein 100 ml – Becherglas gegeben und 2 ml der Natronlauge sowie ein Körnchen </w:t>
      </w:r>
      <w:proofErr w:type="spellStart"/>
      <w:r>
        <w:t>Calconcarbonsäure</w:t>
      </w:r>
      <w:proofErr w:type="spellEnd"/>
      <w:r>
        <w:t xml:space="preserve"> werden hinzugefügt. Nun wird mit der EDTA-Lösung titriert, wobei die Farbumschläge beobachtet werden. Färbt sich die Lösung </w:t>
      </w:r>
      <w:proofErr w:type="spellStart"/>
      <w:r>
        <w:t>dunkeblau</w:t>
      </w:r>
      <w:proofErr w:type="spellEnd"/>
      <w:r>
        <w:t>, so ist die Titration abgeschlossen. Bei den anderen Wasserproben wird analog verfahren.</w:t>
      </w:r>
    </w:p>
    <w:p w:rsidR="00E71176" w:rsidRDefault="00E71176" w:rsidP="00E71176">
      <w:pPr>
        <w:tabs>
          <w:tab w:val="left" w:pos="1701"/>
          <w:tab w:val="left" w:pos="1985"/>
        </w:tabs>
        <w:ind w:left="1980" w:hanging="1980"/>
      </w:pPr>
      <w:r>
        <w:t>Beobachtung:</w:t>
      </w:r>
      <w:r>
        <w:tab/>
      </w:r>
      <w:r>
        <w:tab/>
        <w:t xml:space="preserve">Beim Leitungswasser erfolgt der </w:t>
      </w:r>
      <w:proofErr w:type="spellStart"/>
      <w:r>
        <w:t>Farbumschlagvon</w:t>
      </w:r>
      <w:proofErr w:type="spellEnd"/>
      <w:r>
        <w:t xml:space="preserve"> violett nach blau nach 4,5 ml EDTA-Zugabe, beim Bachwasser nach 19 ml, beim Regenwasser nach 0,5 ml und beim destillierten Wasser ist die Lösung nach Zugabe der Natronlauge und der </w:t>
      </w:r>
      <w:proofErr w:type="spellStart"/>
      <w:r>
        <w:t>Calconcarbonsäure</w:t>
      </w:r>
      <w:proofErr w:type="spellEnd"/>
      <w:r>
        <w:t xml:space="preserve"> sofort dunkelblau, und somit wurde hier keine weitere Titration vorgenommen.</w:t>
      </w:r>
    </w:p>
    <w:p w:rsidR="00E71176" w:rsidRDefault="00E71176" w:rsidP="00E71176">
      <w:pPr>
        <w:tabs>
          <w:tab w:val="left" w:pos="1701"/>
          <w:tab w:val="left" w:pos="1985"/>
        </w:tabs>
        <w:ind w:left="1980" w:hanging="1980"/>
      </w:pPr>
      <w:r>
        <w:tab/>
      </w:r>
      <w:r>
        <w:tab/>
        <w:t>Beim Bachwasser fällt zusätzlich nach Zugabe der Natronlauge deutlich sichtbar ein Feststoff aus.</w:t>
      </w:r>
    </w:p>
    <w:p w:rsidR="00E71176" w:rsidRDefault="00E71176" w:rsidP="00E71176">
      <w:pPr>
        <w:tabs>
          <w:tab w:val="left" w:pos="1701"/>
          <w:tab w:val="left" w:pos="1985"/>
        </w:tabs>
        <w:ind w:left="1980" w:hanging="1980"/>
      </w:pPr>
    </w:p>
    <w:p w:rsidR="00E71176" w:rsidRDefault="00E71176" w:rsidP="00E71176">
      <w:pPr>
        <w:keepNext/>
        <w:tabs>
          <w:tab w:val="left" w:pos="1701"/>
          <w:tab w:val="left" w:pos="1985"/>
        </w:tabs>
        <w:ind w:left="1980" w:hanging="1980"/>
        <w:jc w:val="center"/>
      </w:pPr>
      <w:r>
        <w:rPr>
          <w:noProof/>
          <w:lang w:eastAsia="de-DE"/>
        </w:rPr>
        <w:lastRenderedPageBreak/>
        <w:drawing>
          <wp:inline distT="0" distB="0" distL="0" distR="0" wp14:anchorId="0A75453B" wp14:editId="4FED8CD9">
            <wp:extent cx="1732366" cy="1605781"/>
            <wp:effectExtent l="6350" t="0" r="7620" b="7620"/>
            <wp:docPr id="3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rot="5400000">
                      <a:off x="0" y="0"/>
                      <a:ext cx="1736906" cy="160998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6741454F" wp14:editId="4E0CD7CB">
            <wp:extent cx="1738304" cy="1668455"/>
            <wp:effectExtent l="0" t="3175"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G_2143.JPG"/>
                    <pic:cNvPicPr/>
                  </pic:nvPicPr>
                  <pic:blipFill rotWithShape="1">
                    <a:blip r:embed="rId16" cstate="print">
                      <a:extLst>
                        <a:ext uri="{28A0092B-C50C-407E-A947-70E740481C1C}">
                          <a14:useLocalDpi xmlns:a14="http://schemas.microsoft.com/office/drawing/2010/main"/>
                        </a:ext>
                      </a:extLst>
                    </a:blip>
                    <a:srcRect/>
                    <a:stretch/>
                  </pic:blipFill>
                  <pic:spPr bwMode="auto">
                    <a:xfrm rot="5400000">
                      <a:off x="0" y="0"/>
                      <a:ext cx="1742955" cy="1672919"/>
                    </a:xfrm>
                    <a:prstGeom prst="rect">
                      <a:avLst/>
                    </a:prstGeom>
                    <a:ln>
                      <a:noFill/>
                    </a:ln>
                    <a:extLst>
                      <a:ext uri="{53640926-AAD7-44D8-BBD7-CCE9431645EC}">
                        <a14:shadowObscured xmlns:a14="http://schemas.microsoft.com/office/drawing/2010/main"/>
                      </a:ext>
                    </a:extLst>
                  </pic:spPr>
                </pic:pic>
              </a:graphicData>
            </a:graphic>
          </wp:inline>
        </w:drawing>
      </w:r>
    </w:p>
    <w:p w:rsidR="00E71176" w:rsidRDefault="00E71176" w:rsidP="00E71176">
      <w:pPr>
        <w:pStyle w:val="Beschriftung"/>
        <w:jc w:val="center"/>
      </w:pPr>
      <w:r>
        <w:t xml:space="preserve">Abb. 2 - </w:t>
      </w:r>
      <w:r>
        <w:rPr>
          <w:noProof/>
        </w:rPr>
        <w:t xml:space="preserve"> Wasserprobe vor und nach Titration</w:t>
      </w:r>
    </w:p>
    <w:p w:rsidR="00E71176" w:rsidRDefault="00E71176" w:rsidP="00E71176">
      <w:pPr>
        <w:tabs>
          <w:tab w:val="left" w:pos="1701"/>
          <w:tab w:val="left" w:pos="1985"/>
        </w:tabs>
        <w:ind w:left="1985" w:hanging="1985"/>
      </w:pPr>
      <w:r>
        <w:t>Deutung:</w:t>
      </w:r>
      <w:r>
        <w:tab/>
      </w:r>
      <w:r>
        <w:tab/>
        <w:t xml:space="preserve">Durch Zugabe der Natronlauge fallen die im Wasser gelösten </w:t>
      </w:r>
      <w:proofErr w:type="spellStart"/>
      <w:r>
        <w:t>Magnesiumionen</w:t>
      </w:r>
      <w:proofErr w:type="spellEnd"/>
      <w:r>
        <w:t xml:space="preserve"> als festes Magnesiumhydroxid aus und stören somit nicht mehr bei der Bestimmung des Calciumgehaltes im Wasser.</w:t>
      </w:r>
    </w:p>
    <w:p w:rsidR="00E71176" w:rsidRPr="00743097" w:rsidRDefault="00E71176" w:rsidP="00E71176">
      <w:pPr>
        <w:tabs>
          <w:tab w:val="left" w:pos="1701"/>
          <w:tab w:val="left" w:pos="1985"/>
        </w:tabs>
        <w:ind w:left="1985" w:hanging="1985"/>
        <w:rPr>
          <w:u w:val="single"/>
        </w:rPr>
      </w:pPr>
      <w:r>
        <w:tab/>
      </w:r>
      <w:r>
        <w:tab/>
      </w:r>
      <w:r w:rsidRPr="00743097">
        <w:rPr>
          <w:u w:val="single"/>
        </w:rPr>
        <w:t xml:space="preserve">nach </w:t>
      </w:r>
      <w:r>
        <w:rPr>
          <w:u w:val="single"/>
        </w:rPr>
        <w:t>Zugabe der Natronlauge</w:t>
      </w:r>
      <w:r w:rsidRPr="00743097">
        <w:rPr>
          <w:u w:val="single"/>
        </w:rPr>
        <w:t xml:space="preserve">: </w:t>
      </w:r>
    </w:p>
    <w:p w:rsidR="00E71176" w:rsidRPr="009F1F5D" w:rsidRDefault="00E71176" w:rsidP="00E71176">
      <w:pPr>
        <w:tabs>
          <w:tab w:val="left" w:pos="1701"/>
          <w:tab w:val="left" w:pos="1985"/>
        </w:tabs>
        <w:ind w:left="1985" w:hanging="1985"/>
        <w:rPr>
          <w:rFonts w:asciiTheme="majorHAnsi" w:hAnsiTheme="majorHAnsi"/>
          <w:vertAlign w:val="subscript"/>
        </w:rPr>
      </w:pPr>
      <w:r>
        <w:tab/>
      </w:r>
      <w:r>
        <w:tab/>
      </w:r>
      <w:r w:rsidRPr="009F1F5D">
        <w:rPr>
          <w:rFonts w:asciiTheme="majorHAnsi" w:hAnsiTheme="majorHAnsi"/>
        </w:rPr>
        <w:t>Mg</w:t>
      </w:r>
      <w:r w:rsidRPr="009F1F5D">
        <w:rPr>
          <w:rFonts w:asciiTheme="majorHAnsi" w:hAnsiTheme="majorHAnsi"/>
          <w:vertAlign w:val="superscript"/>
        </w:rPr>
        <w:t>2+</w:t>
      </w:r>
      <w:r w:rsidRPr="009F1F5D">
        <w:rPr>
          <w:rFonts w:asciiTheme="majorHAnsi" w:hAnsiTheme="majorHAnsi"/>
        </w:rPr>
        <w:t xml:space="preserve"> </w:t>
      </w:r>
      <w:r w:rsidRPr="009F1F5D">
        <w:rPr>
          <w:rFonts w:asciiTheme="majorHAnsi" w:hAnsiTheme="majorHAnsi"/>
          <w:vertAlign w:val="subscript"/>
        </w:rPr>
        <w:t>(</w:t>
      </w:r>
      <w:proofErr w:type="spellStart"/>
      <w:r w:rsidRPr="009F1F5D">
        <w:rPr>
          <w:rFonts w:asciiTheme="majorHAnsi" w:hAnsiTheme="majorHAnsi"/>
          <w:vertAlign w:val="subscript"/>
        </w:rPr>
        <w:t>aq</w:t>
      </w:r>
      <w:proofErr w:type="spellEnd"/>
      <w:r w:rsidRPr="009F1F5D">
        <w:rPr>
          <w:rFonts w:asciiTheme="majorHAnsi" w:hAnsiTheme="majorHAnsi"/>
          <w:vertAlign w:val="subscript"/>
        </w:rPr>
        <w:t>)</w:t>
      </w:r>
      <w:r w:rsidRPr="009F1F5D">
        <w:rPr>
          <w:rFonts w:asciiTheme="majorHAnsi" w:hAnsiTheme="majorHAnsi"/>
        </w:rPr>
        <w:t xml:space="preserve"> + 2 OH</w:t>
      </w:r>
      <w:r w:rsidRPr="009F1F5D">
        <w:rPr>
          <w:rFonts w:asciiTheme="majorHAnsi" w:hAnsiTheme="majorHAnsi" w:cs="Times New Roman"/>
          <w:vertAlign w:val="superscript"/>
        </w:rPr>
        <w:t>−</w:t>
      </w:r>
      <w:r w:rsidRPr="009F1F5D">
        <w:rPr>
          <w:rFonts w:asciiTheme="majorHAnsi" w:hAnsiTheme="majorHAnsi" w:cs="Times New Roman"/>
        </w:rPr>
        <w:t xml:space="preserve"> </w:t>
      </w:r>
      <w:r w:rsidRPr="009F1F5D">
        <w:rPr>
          <w:rFonts w:asciiTheme="majorHAnsi" w:hAnsiTheme="majorHAnsi" w:cs="Times New Roman"/>
          <w:vertAlign w:val="subscript"/>
        </w:rPr>
        <w:t>(</w:t>
      </w:r>
      <w:proofErr w:type="spellStart"/>
      <w:r w:rsidRPr="009F1F5D">
        <w:rPr>
          <w:rFonts w:asciiTheme="majorHAnsi" w:hAnsiTheme="majorHAnsi" w:cs="Times New Roman"/>
          <w:vertAlign w:val="subscript"/>
        </w:rPr>
        <w:t>aq</w:t>
      </w:r>
      <w:proofErr w:type="spellEnd"/>
      <w:r w:rsidRPr="009F1F5D">
        <w:rPr>
          <w:rFonts w:asciiTheme="majorHAnsi" w:hAnsiTheme="majorHAnsi" w:cs="Times New Roman"/>
          <w:vertAlign w:val="subscript"/>
        </w:rPr>
        <w:t>)</w:t>
      </w:r>
      <w:r w:rsidRPr="009F1F5D">
        <w:rPr>
          <w:rFonts w:asciiTheme="majorHAnsi" w:hAnsiTheme="majorHAnsi"/>
        </w:rPr>
        <w:t xml:space="preserve"> </w:t>
      </w:r>
      <w:r w:rsidRPr="00743097">
        <w:rPr>
          <w:rFonts w:asciiTheme="majorHAnsi" w:hAnsiTheme="majorHAnsi"/>
        </w:rPr>
        <w:sym w:font="Wingdings" w:char="F0E0"/>
      </w:r>
      <w:r w:rsidRPr="009F1F5D">
        <w:rPr>
          <w:rFonts w:asciiTheme="majorHAnsi" w:hAnsiTheme="majorHAnsi"/>
        </w:rPr>
        <w:t xml:space="preserve"> Mg(OH)</w:t>
      </w:r>
      <w:r w:rsidRPr="009F1F5D">
        <w:rPr>
          <w:rFonts w:asciiTheme="majorHAnsi" w:hAnsiTheme="majorHAnsi"/>
          <w:vertAlign w:val="subscript"/>
        </w:rPr>
        <w:t>2</w:t>
      </w:r>
      <w:r w:rsidRPr="009F1F5D">
        <w:rPr>
          <w:rFonts w:asciiTheme="majorHAnsi" w:hAnsiTheme="majorHAnsi" w:cs="Times New Roman"/>
          <w:vertAlign w:val="subscript"/>
        </w:rPr>
        <w:t xml:space="preserve"> (s)</w:t>
      </w:r>
      <w:r w:rsidRPr="009F1F5D">
        <w:rPr>
          <w:rFonts w:asciiTheme="majorHAnsi" w:hAnsiTheme="majorHAnsi" w:cs="Times New Roman"/>
        </w:rPr>
        <w:t xml:space="preserve"> </w:t>
      </w:r>
    </w:p>
    <w:p w:rsidR="00E71176" w:rsidRPr="00193C55" w:rsidRDefault="00E71176" w:rsidP="00E71176">
      <w:pPr>
        <w:tabs>
          <w:tab w:val="left" w:pos="1701"/>
          <w:tab w:val="left" w:pos="1985"/>
        </w:tabs>
        <w:ind w:left="1985" w:hanging="1985"/>
        <w:rPr>
          <w:rFonts w:asciiTheme="majorHAnsi" w:hAnsiTheme="majorHAnsi"/>
        </w:rPr>
      </w:pPr>
      <w:r w:rsidRPr="009F1F5D">
        <w:rPr>
          <w:rFonts w:asciiTheme="majorHAnsi" w:hAnsiTheme="majorHAnsi"/>
          <w:vertAlign w:val="subscript"/>
        </w:rPr>
        <w:tab/>
      </w:r>
      <w:r w:rsidRPr="009F1F5D">
        <w:rPr>
          <w:rFonts w:asciiTheme="majorHAnsi" w:hAnsiTheme="majorHAnsi"/>
          <w:vertAlign w:val="subscript"/>
        </w:rPr>
        <w:tab/>
      </w:r>
      <w:r w:rsidRPr="00743097">
        <w:rPr>
          <w:rFonts w:asciiTheme="majorHAnsi" w:hAnsiTheme="majorHAnsi"/>
        </w:rPr>
        <w:t>Ca</w:t>
      </w:r>
      <w:r w:rsidRPr="00743097">
        <w:rPr>
          <w:rFonts w:asciiTheme="majorHAnsi" w:hAnsiTheme="majorHAnsi"/>
          <w:vertAlign w:val="superscript"/>
        </w:rPr>
        <w:t>2+</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w:t>
      </w:r>
      <w:r w:rsidRPr="00743097">
        <w:rPr>
          <w:rFonts w:asciiTheme="majorHAnsi" w:hAnsiTheme="majorHAnsi"/>
        </w:rPr>
        <w:t xml:space="preserve"> + HInd</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 xml:space="preserve">) </w:t>
      </w:r>
      <w:r w:rsidRPr="00743097">
        <w:rPr>
          <w:rFonts w:asciiTheme="majorHAnsi" w:hAnsiTheme="majorHAnsi"/>
        </w:rPr>
        <w:t>+ OH</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rPr>
        <w:t xml:space="preserve"> </w:t>
      </w:r>
      <w:r w:rsidRPr="00743097">
        <w:rPr>
          <w:rFonts w:asciiTheme="majorHAnsi" w:hAnsiTheme="majorHAnsi"/>
        </w:rPr>
        <w:sym w:font="Wingdings" w:char="F0E0"/>
      </w:r>
      <w:r w:rsidRPr="00743097">
        <w:rPr>
          <w:rFonts w:asciiTheme="majorHAnsi" w:hAnsiTheme="majorHAnsi"/>
        </w:rPr>
        <w:t xml:space="preserve"> [</w:t>
      </w:r>
      <w:proofErr w:type="spellStart"/>
      <w:r w:rsidRPr="00743097">
        <w:rPr>
          <w:rFonts w:asciiTheme="majorHAnsi" w:hAnsiTheme="majorHAnsi"/>
        </w:rPr>
        <w:t>Ca</w:t>
      </w:r>
      <w:proofErr w:type="spellEnd"/>
      <w:r w:rsidRPr="00743097">
        <w:rPr>
          <w:rFonts w:asciiTheme="majorHAnsi" w:hAnsiTheme="majorHAnsi"/>
        </w:rPr>
        <w:t>(</w:t>
      </w:r>
      <w:proofErr w:type="spellStart"/>
      <w:r w:rsidRPr="00743097">
        <w:rPr>
          <w:rFonts w:asciiTheme="majorHAnsi" w:hAnsiTheme="majorHAnsi"/>
        </w:rPr>
        <w:t>Ind</w:t>
      </w:r>
      <w:proofErr w:type="spellEnd"/>
      <w:r w:rsidRPr="00743097">
        <w:rPr>
          <w:rFonts w:asciiTheme="majorHAnsi" w:hAnsiTheme="majorHAnsi"/>
        </w:rPr>
        <w:t>)]</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w:t>
      </w:r>
      <w:r w:rsidRPr="00743097">
        <w:rPr>
          <w:rFonts w:asciiTheme="majorHAnsi" w:hAnsiTheme="majorHAnsi"/>
        </w:rPr>
        <w:t>+ H</w:t>
      </w:r>
      <w:r w:rsidRPr="00743097">
        <w:rPr>
          <w:rFonts w:asciiTheme="majorHAnsi" w:hAnsiTheme="majorHAnsi"/>
          <w:vertAlign w:val="subscript"/>
        </w:rPr>
        <w:t>2</w:t>
      </w:r>
      <w:r w:rsidRPr="00743097">
        <w:rPr>
          <w:rFonts w:asciiTheme="majorHAnsi" w:hAnsiTheme="majorHAnsi"/>
        </w:rPr>
        <w:t xml:space="preserve">O </w:t>
      </w:r>
      <w:r w:rsidRPr="00743097">
        <w:rPr>
          <w:rFonts w:asciiTheme="majorHAnsi" w:hAnsiTheme="majorHAnsi"/>
          <w:vertAlign w:val="subscript"/>
        </w:rPr>
        <w:t>(l)</w:t>
      </w:r>
    </w:p>
    <w:p w:rsidR="00E71176" w:rsidRPr="00743097" w:rsidRDefault="00E71176" w:rsidP="00E71176">
      <w:pPr>
        <w:tabs>
          <w:tab w:val="left" w:pos="1701"/>
          <w:tab w:val="left" w:pos="1985"/>
        </w:tabs>
        <w:ind w:left="1985" w:hanging="1985"/>
        <w:rPr>
          <w:rFonts w:asciiTheme="majorHAnsi" w:hAnsiTheme="majorHAnsi"/>
          <w:u w:val="single"/>
        </w:rPr>
      </w:pPr>
      <w:r>
        <w:rPr>
          <w:rFonts w:asciiTheme="majorHAnsi" w:hAnsiTheme="majorHAnsi"/>
        </w:rPr>
        <w:tab/>
      </w:r>
      <w:r>
        <w:rPr>
          <w:rFonts w:asciiTheme="majorHAnsi" w:hAnsiTheme="majorHAnsi"/>
        </w:rPr>
        <w:tab/>
      </w:r>
      <w:r>
        <w:rPr>
          <w:rFonts w:asciiTheme="majorHAnsi" w:hAnsiTheme="majorHAnsi"/>
          <w:u w:val="single"/>
        </w:rPr>
        <w:t>n</w:t>
      </w:r>
      <w:r w:rsidRPr="00743097">
        <w:rPr>
          <w:rFonts w:asciiTheme="majorHAnsi" w:hAnsiTheme="majorHAnsi"/>
          <w:u w:val="single"/>
        </w:rPr>
        <w:t>ach EDTA-Zugabe:</w:t>
      </w:r>
    </w:p>
    <w:p w:rsidR="00E71176" w:rsidRDefault="00E71176" w:rsidP="00E71176">
      <w:pPr>
        <w:tabs>
          <w:tab w:val="left" w:pos="1701"/>
          <w:tab w:val="left" w:pos="1985"/>
        </w:tabs>
        <w:ind w:left="1985" w:hanging="1985"/>
        <w:rPr>
          <w:rFonts w:asciiTheme="majorHAnsi" w:hAnsiTheme="majorHAnsi"/>
          <w:vertAlign w:val="subscript"/>
        </w:rPr>
      </w:pPr>
      <w:r w:rsidRPr="00743097">
        <w:rPr>
          <w:rFonts w:asciiTheme="majorHAnsi" w:hAnsiTheme="majorHAnsi"/>
          <w:vertAlign w:val="subscript"/>
        </w:rPr>
        <w:tab/>
      </w:r>
      <w:r w:rsidRPr="00743097">
        <w:rPr>
          <w:rFonts w:asciiTheme="majorHAnsi" w:hAnsiTheme="majorHAnsi"/>
          <w:vertAlign w:val="subscript"/>
        </w:rPr>
        <w:tab/>
      </w:r>
      <w:r w:rsidRPr="00743097">
        <w:rPr>
          <w:rFonts w:asciiTheme="majorHAnsi" w:hAnsiTheme="majorHAnsi"/>
        </w:rPr>
        <w:t>[</w:t>
      </w:r>
      <w:proofErr w:type="spellStart"/>
      <w:r w:rsidRPr="00743097">
        <w:rPr>
          <w:rFonts w:asciiTheme="majorHAnsi" w:hAnsiTheme="majorHAnsi"/>
        </w:rPr>
        <w:t>Ca</w:t>
      </w:r>
      <w:proofErr w:type="spellEnd"/>
      <w:r w:rsidRPr="00743097">
        <w:rPr>
          <w:rFonts w:asciiTheme="majorHAnsi" w:hAnsiTheme="majorHAnsi"/>
        </w:rPr>
        <w:t>(</w:t>
      </w:r>
      <w:proofErr w:type="spellStart"/>
      <w:r w:rsidRPr="00743097">
        <w:rPr>
          <w:rFonts w:asciiTheme="majorHAnsi" w:hAnsiTheme="majorHAnsi"/>
        </w:rPr>
        <w:t>Ind</w:t>
      </w:r>
      <w:proofErr w:type="spellEnd"/>
      <w:r w:rsidRPr="00743097">
        <w:rPr>
          <w:rFonts w:asciiTheme="majorHAnsi" w:hAnsiTheme="majorHAnsi"/>
        </w:rPr>
        <w:t>)]</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 </w:t>
      </w:r>
      <w:r>
        <w:rPr>
          <w:rFonts w:asciiTheme="majorHAnsi" w:hAnsiTheme="majorHAnsi" w:cs="Times New Roman"/>
        </w:rPr>
        <w:t>H</w:t>
      </w:r>
      <w:r w:rsidRPr="00743097">
        <w:rPr>
          <w:rFonts w:asciiTheme="majorHAnsi" w:hAnsiTheme="majorHAnsi" w:cs="Times New Roman"/>
          <w:vertAlign w:val="subscript"/>
        </w:rPr>
        <w:t>2</w:t>
      </w:r>
      <w:r>
        <w:rPr>
          <w:rFonts w:asciiTheme="majorHAnsi" w:hAnsiTheme="majorHAnsi" w:cs="Times New Roman"/>
        </w:rPr>
        <w:t>edta</w:t>
      </w:r>
      <w:r w:rsidRPr="00743097">
        <w:rPr>
          <w:rFonts w:asciiTheme="majorHAnsi" w:hAnsiTheme="majorHAnsi" w:cs="Times New Roman"/>
          <w:vertAlign w:val="superscript"/>
        </w:rPr>
        <w:t>2</w:t>
      </w:r>
      <w:r w:rsidRPr="00743097">
        <w:rPr>
          <w:rFonts w:ascii="Times New Roman" w:hAnsi="Times New Roman" w:cs="Times New Roman"/>
          <w:vertAlign w:val="superscript"/>
        </w:rPr>
        <w:t>−</w:t>
      </w:r>
      <w:r>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Pr>
          <w:rFonts w:asciiTheme="majorHAnsi" w:hAnsiTheme="majorHAnsi" w:cs="Times New Roman"/>
        </w:rPr>
        <w:t xml:space="preserve"> </w:t>
      </w:r>
      <w:r w:rsidRPr="00743097">
        <w:rPr>
          <w:rFonts w:asciiTheme="majorHAnsi" w:hAnsiTheme="majorHAnsi"/>
        </w:rPr>
        <w:t>+ OH</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Pr>
          <w:rFonts w:asciiTheme="majorHAnsi" w:hAnsiTheme="majorHAnsi" w:cs="Times New Roman"/>
        </w:rPr>
        <w:t xml:space="preserve"> </w:t>
      </w:r>
      <w:r w:rsidRPr="00743097">
        <w:rPr>
          <w:rFonts w:asciiTheme="majorHAnsi" w:hAnsiTheme="majorHAnsi" w:cs="Times New Roman"/>
        </w:rPr>
        <w:sym w:font="Wingdings" w:char="F0E0"/>
      </w:r>
      <w:r>
        <w:rPr>
          <w:rFonts w:asciiTheme="majorHAnsi" w:hAnsiTheme="majorHAnsi" w:cs="Times New Roman"/>
        </w:rPr>
        <w:t xml:space="preserve"> </w:t>
      </w:r>
      <w:r w:rsidRPr="00743097">
        <w:rPr>
          <w:rFonts w:asciiTheme="majorHAnsi" w:hAnsiTheme="majorHAnsi"/>
        </w:rPr>
        <w:t>[</w:t>
      </w:r>
      <w:proofErr w:type="spellStart"/>
      <w:r w:rsidRPr="00743097">
        <w:rPr>
          <w:rFonts w:asciiTheme="majorHAnsi" w:hAnsiTheme="majorHAnsi"/>
        </w:rPr>
        <w:t>Ca</w:t>
      </w:r>
      <w:proofErr w:type="spellEnd"/>
      <w:r>
        <w:rPr>
          <w:rFonts w:asciiTheme="majorHAnsi" w:hAnsiTheme="majorHAnsi"/>
        </w:rPr>
        <w:t>(</w:t>
      </w:r>
      <w:proofErr w:type="spellStart"/>
      <w:r>
        <w:rPr>
          <w:rFonts w:asciiTheme="majorHAnsi" w:hAnsiTheme="majorHAnsi"/>
        </w:rPr>
        <w:t>edta</w:t>
      </w:r>
      <w:proofErr w:type="spellEnd"/>
      <w:r w:rsidRPr="00743097">
        <w:rPr>
          <w:rFonts w:asciiTheme="majorHAnsi" w:hAnsiTheme="majorHAnsi"/>
        </w:rPr>
        <w:t>)]</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w:t>
      </w:r>
      <w:r w:rsidRPr="00743097">
        <w:rPr>
          <w:rFonts w:asciiTheme="majorHAnsi" w:hAnsiTheme="majorHAnsi"/>
        </w:rPr>
        <w:t>+ H</w:t>
      </w:r>
      <w:r w:rsidRPr="00743097">
        <w:rPr>
          <w:rFonts w:asciiTheme="majorHAnsi" w:hAnsiTheme="majorHAnsi"/>
          <w:vertAlign w:val="subscript"/>
        </w:rPr>
        <w:t>2</w:t>
      </w:r>
      <w:r w:rsidRPr="00743097">
        <w:rPr>
          <w:rFonts w:asciiTheme="majorHAnsi" w:hAnsiTheme="majorHAnsi"/>
        </w:rPr>
        <w:t xml:space="preserve">O </w:t>
      </w:r>
      <w:r w:rsidRPr="00743097">
        <w:rPr>
          <w:rFonts w:asciiTheme="majorHAnsi" w:hAnsiTheme="majorHAnsi"/>
          <w:vertAlign w:val="subscript"/>
        </w:rPr>
        <w:t>(l)</w:t>
      </w:r>
      <w:r>
        <w:rPr>
          <w:rFonts w:asciiTheme="majorHAnsi" w:hAnsiTheme="majorHAnsi"/>
        </w:rPr>
        <w:t xml:space="preserve"> + </w:t>
      </w:r>
      <w:r w:rsidRPr="00743097">
        <w:rPr>
          <w:rFonts w:asciiTheme="majorHAnsi" w:hAnsiTheme="majorHAnsi"/>
        </w:rPr>
        <w:t>HInd</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w:t>
      </w:r>
    </w:p>
    <w:p w:rsidR="00E71176" w:rsidRDefault="00E71176" w:rsidP="00E71176">
      <w:pPr>
        <w:tabs>
          <w:tab w:val="left" w:pos="1701"/>
          <w:tab w:val="left" w:pos="1985"/>
        </w:tabs>
        <w:ind w:left="1985" w:hanging="1985"/>
        <w:rPr>
          <w:rFonts w:asciiTheme="majorHAnsi" w:hAnsiTheme="majorHAnsi"/>
        </w:rPr>
      </w:pPr>
      <w:r>
        <w:rPr>
          <w:rFonts w:asciiTheme="majorHAnsi" w:hAnsiTheme="majorHAnsi"/>
          <w:vertAlign w:val="subscript"/>
        </w:rPr>
        <w:tab/>
      </w:r>
      <w:r>
        <w:rPr>
          <w:rFonts w:asciiTheme="majorHAnsi" w:hAnsiTheme="majorHAnsi"/>
          <w:vertAlign w:val="subscript"/>
        </w:rPr>
        <w:tab/>
      </w:r>
      <w:r>
        <w:rPr>
          <w:rFonts w:asciiTheme="majorHAnsi" w:hAnsiTheme="majorHAnsi"/>
        </w:rPr>
        <w:t>Die Wasserhärte kann nun wie folgt berechnet werden:</w:t>
      </w:r>
    </w:p>
    <w:p w:rsidR="00E71176" w:rsidRPr="00F126F5" w:rsidRDefault="00E71176" w:rsidP="00E71176">
      <w:pPr>
        <w:tabs>
          <w:tab w:val="left" w:pos="1701"/>
          <w:tab w:val="left" w:pos="1985"/>
        </w:tabs>
        <w:ind w:left="1985" w:hanging="1985"/>
        <w:rPr>
          <w:rFonts w:asciiTheme="majorHAnsi" w:eastAsiaTheme="minorEastAsia" w:hAnsiTheme="majorHAnsi"/>
        </w:rPr>
      </w:pPr>
      <w:r>
        <w:rPr>
          <w:rFonts w:asciiTheme="majorHAnsi" w:hAnsiTheme="majorHAnsi"/>
        </w:rPr>
        <w:tab/>
      </w:r>
      <w:r>
        <w:rPr>
          <w:rFonts w:asciiTheme="majorHAnsi" w:hAnsiTheme="majorHAnsi"/>
        </w:rPr>
        <w:tab/>
        <w:t xml:space="preserve"> </w:t>
      </w:r>
      <m:oMath>
        <m:r>
          <w:rPr>
            <w:rFonts w:ascii="Cambria Math" w:hAnsi="Cambria Math"/>
          </w:rPr>
          <m:t xml:space="preserve">Wasserhärte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mmol</m:t>
                </m:r>
              </m:num>
              <m:den>
                <m:r>
                  <w:rPr>
                    <w:rFonts w:ascii="Cambria Math" w:hAnsi="Cambria Math"/>
                  </w:rPr>
                  <m:t>L</m:t>
                </m:r>
              </m:den>
            </m:f>
          </m:e>
        </m:d>
        <m:r>
          <w:rPr>
            <w:rFonts w:ascii="Cambria Math" w:hAnsi="Cambria Math"/>
          </w:rPr>
          <m:t xml:space="preserve">= </m:t>
        </m:r>
        <m:f>
          <m:fPr>
            <m:ctrlPr>
              <w:rPr>
                <w:rFonts w:ascii="Cambria Math" w:hAnsi="Cambria Math"/>
                <w:i/>
              </w:rPr>
            </m:ctrlPr>
          </m:fPr>
          <m:num>
            <m:r>
              <w:rPr>
                <w:rFonts w:ascii="Cambria Math" w:hAnsi="Cambria Math"/>
              </w:rPr>
              <m:t xml:space="preserve">EDTA-Verbrauch </m:t>
            </m:r>
            <m:d>
              <m:dPr>
                <m:begChr m:val="["/>
                <m:endChr m:val="]"/>
                <m:ctrlPr>
                  <w:rPr>
                    <w:rFonts w:ascii="Cambria Math" w:hAnsi="Cambria Math"/>
                    <w:i/>
                  </w:rPr>
                </m:ctrlPr>
              </m:dPr>
              <m:e>
                <m:r>
                  <w:rPr>
                    <w:rFonts w:ascii="Cambria Math" w:hAnsi="Cambria Math"/>
                  </w:rPr>
                  <m:t>ml</m:t>
                </m:r>
              </m:e>
            </m:d>
            <m:r>
              <w:rPr>
                <w:rFonts w:ascii="Cambria Math" w:hAnsi="Cambria Math"/>
              </w:rPr>
              <m:t>∙c</m:t>
            </m:r>
            <m:d>
              <m:dPr>
                <m:ctrlPr>
                  <w:rPr>
                    <w:rFonts w:ascii="Cambria Math" w:hAnsi="Cambria Math"/>
                    <w:i/>
                  </w:rPr>
                </m:ctrlPr>
              </m:dPr>
              <m:e>
                <m:r>
                  <w:rPr>
                    <w:rFonts w:ascii="Cambria Math" w:hAnsi="Cambria Math"/>
                  </w:rPr>
                  <m:t>EDTA-Lsg.</m:t>
                </m:r>
              </m:e>
            </m:d>
            <m:r>
              <w:rPr>
                <w:rFonts w:ascii="Cambria Math" w:hAnsi="Cambria Math"/>
              </w:rPr>
              <m:t>[</m:t>
            </m:r>
            <m:f>
              <m:fPr>
                <m:ctrlPr>
                  <w:rPr>
                    <w:rFonts w:ascii="Cambria Math" w:hAnsi="Cambria Math"/>
                    <w:i/>
                  </w:rPr>
                </m:ctrlPr>
              </m:fPr>
              <m:num>
                <m:r>
                  <w:rPr>
                    <w:rFonts w:ascii="Cambria Math" w:hAnsi="Cambria Math"/>
                  </w:rPr>
                  <m:t>mmol</m:t>
                </m:r>
              </m:num>
              <m:den>
                <m:r>
                  <w:rPr>
                    <w:rFonts w:ascii="Cambria Math" w:hAnsi="Cambria Math"/>
                  </w:rPr>
                  <m:t>L</m:t>
                </m:r>
              </m:den>
            </m:f>
            <m:r>
              <w:rPr>
                <w:rFonts w:ascii="Cambria Math" w:hAnsi="Cambria Math"/>
              </w:rPr>
              <m:t>]</m:t>
            </m:r>
          </m:num>
          <m:den>
            <m:r>
              <w:rPr>
                <w:rFonts w:ascii="Cambria Math" w:hAnsi="Cambria Math"/>
              </w:rPr>
              <m:t>V</m:t>
            </m:r>
            <m:d>
              <m:dPr>
                <m:ctrlPr>
                  <w:rPr>
                    <w:rFonts w:ascii="Cambria Math" w:hAnsi="Cambria Math"/>
                    <w:i/>
                  </w:rPr>
                </m:ctrlPr>
              </m:dPr>
              <m:e>
                <m:r>
                  <w:rPr>
                    <w:rFonts w:ascii="Cambria Math" w:hAnsi="Cambria Math"/>
                  </w:rPr>
                  <m:t>Probe</m:t>
                </m:r>
              </m:e>
            </m:d>
            <m:r>
              <w:rPr>
                <w:rFonts w:ascii="Cambria Math" w:hAnsi="Cambria Math"/>
              </w:rPr>
              <m:t>[ml]</m:t>
            </m:r>
          </m:den>
        </m:f>
      </m:oMath>
    </w:p>
    <w:p w:rsidR="00E71176" w:rsidRPr="00191B25" w:rsidRDefault="00E71176" w:rsidP="00E71176">
      <w:pPr>
        <w:tabs>
          <w:tab w:val="left" w:pos="1701"/>
          <w:tab w:val="left" w:pos="1985"/>
        </w:tabs>
        <w:ind w:left="1985" w:hanging="1985"/>
        <w:rPr>
          <w:rFonts w:asciiTheme="majorHAnsi" w:eastAsiaTheme="minorEastAsia" w:hAnsiTheme="majorHAnsi"/>
          <w:u w:val="single"/>
        </w:rPr>
      </w:pPr>
      <w:r>
        <w:rPr>
          <w:rFonts w:asciiTheme="majorHAnsi" w:eastAsiaTheme="minorEastAsia" w:hAnsiTheme="majorHAnsi"/>
        </w:rPr>
        <w:tab/>
      </w:r>
      <w:r>
        <w:rPr>
          <w:rFonts w:asciiTheme="majorHAnsi" w:eastAsiaTheme="minorEastAsia" w:hAnsiTheme="majorHAnsi"/>
        </w:rPr>
        <w:tab/>
      </w:r>
      <w:r w:rsidRPr="00191B25">
        <w:rPr>
          <w:rFonts w:asciiTheme="majorHAnsi" w:eastAsiaTheme="minorEastAsia" w:hAnsiTheme="majorHAnsi"/>
          <w:u w:val="single"/>
        </w:rPr>
        <w:t>Beis</w:t>
      </w:r>
      <w:r>
        <w:rPr>
          <w:rFonts w:asciiTheme="majorHAnsi" w:eastAsiaTheme="minorEastAsia" w:hAnsiTheme="majorHAnsi"/>
          <w:u w:val="single"/>
        </w:rPr>
        <w:t>pielrechnung für Leitungswasser (1 mmol/L = 5,6 °</w:t>
      </w:r>
      <w:proofErr w:type="spellStart"/>
      <w:r>
        <w:rPr>
          <w:rFonts w:asciiTheme="majorHAnsi" w:eastAsiaTheme="minorEastAsia" w:hAnsiTheme="majorHAnsi"/>
          <w:u w:val="single"/>
        </w:rPr>
        <w:t>dH</w:t>
      </w:r>
      <w:proofErr w:type="spellEnd"/>
      <w:r>
        <w:rPr>
          <w:rFonts w:asciiTheme="majorHAnsi" w:eastAsiaTheme="minorEastAsia" w:hAnsiTheme="majorHAnsi"/>
          <w:u w:val="single"/>
        </w:rPr>
        <w:t>):</w:t>
      </w:r>
      <w:r w:rsidRPr="00191B25">
        <w:rPr>
          <w:rFonts w:asciiTheme="majorHAnsi" w:eastAsiaTheme="minorEastAsia" w:hAnsiTheme="majorHAnsi"/>
          <w:u w:val="single"/>
        </w:rPr>
        <w:t xml:space="preserve"> </w:t>
      </w:r>
    </w:p>
    <w:p w:rsidR="00E71176" w:rsidRDefault="00E71176" w:rsidP="00E71176">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m:oMath>
        <m:r>
          <w:rPr>
            <w:rFonts w:ascii="Cambria Math" w:hAnsi="Cambria Math"/>
          </w:rPr>
          <m:t>c(</m:t>
        </m:r>
        <m:sSup>
          <m:sSupPr>
            <m:ctrlPr>
              <w:rPr>
                <w:rFonts w:ascii="Cambria Math" w:hAnsi="Cambria Math"/>
                <w:i/>
              </w:rPr>
            </m:ctrlPr>
          </m:sSupPr>
          <m:e>
            <m:r>
              <w:rPr>
                <w:rFonts w:ascii="Cambria Math" w:hAnsi="Cambria Math"/>
              </w:rPr>
              <m:t>Ca</m:t>
            </m:r>
          </m:e>
          <m:sup>
            <m:r>
              <w:rPr>
                <w:rFonts w:ascii="Cambria Math" w:hAnsi="Cambria Math"/>
              </w:rPr>
              <m:t>2+</m:t>
            </m:r>
          </m:sup>
        </m:sSup>
        <m:r>
          <w:rPr>
            <w:rFonts w:ascii="Cambria Math" w:hAnsi="Cambria Math"/>
          </w:rPr>
          <m:t xml:space="preserve">) = </m:t>
        </m:r>
        <m:f>
          <m:fPr>
            <m:ctrlPr>
              <w:rPr>
                <w:rFonts w:ascii="Cambria Math" w:hAnsi="Cambria Math"/>
                <w:i/>
              </w:rPr>
            </m:ctrlPr>
          </m:fPr>
          <m:num>
            <m:r>
              <w:rPr>
                <w:rFonts w:ascii="Cambria Math" w:hAnsi="Cambria Math"/>
              </w:rPr>
              <m:t>4,5 ml ∙10</m:t>
            </m:r>
            <m:f>
              <m:fPr>
                <m:ctrlPr>
                  <w:rPr>
                    <w:rFonts w:ascii="Cambria Math" w:hAnsi="Cambria Math"/>
                    <w:i/>
                  </w:rPr>
                </m:ctrlPr>
              </m:fPr>
              <m:num>
                <m:r>
                  <w:rPr>
                    <w:rFonts w:ascii="Cambria Math" w:hAnsi="Cambria Math"/>
                  </w:rPr>
                  <m:t>mmol</m:t>
                </m:r>
              </m:num>
              <m:den>
                <m:r>
                  <w:rPr>
                    <w:rFonts w:ascii="Cambria Math" w:hAnsi="Cambria Math"/>
                  </w:rPr>
                  <m:t>L</m:t>
                </m:r>
              </m:den>
            </m:f>
          </m:num>
          <m:den>
            <m:r>
              <w:rPr>
                <w:rFonts w:ascii="Cambria Math" w:hAnsi="Cambria Math"/>
              </w:rPr>
              <m:t>36,5 ml</m:t>
            </m:r>
          </m:den>
        </m:f>
        <m:r>
          <w:rPr>
            <w:rFonts w:ascii="Cambria Math" w:hAnsi="Cambria Math"/>
          </w:rPr>
          <m:t>=1,23</m:t>
        </m:r>
        <m:f>
          <m:fPr>
            <m:ctrlPr>
              <w:rPr>
                <w:rFonts w:ascii="Cambria Math" w:hAnsi="Cambria Math"/>
                <w:i/>
              </w:rPr>
            </m:ctrlPr>
          </m:fPr>
          <m:num>
            <m:r>
              <w:rPr>
                <w:rFonts w:ascii="Cambria Math" w:hAnsi="Cambria Math"/>
              </w:rPr>
              <m:t>mmol</m:t>
            </m:r>
          </m:num>
          <m:den>
            <m:r>
              <w:rPr>
                <w:rFonts w:ascii="Cambria Math" w:hAnsi="Cambria Math"/>
              </w:rPr>
              <m:t>L</m:t>
            </m:r>
          </m:den>
        </m:f>
      </m:oMath>
    </w:p>
    <w:p w:rsidR="00E71176" w:rsidRDefault="00E71176" w:rsidP="00E71176">
      <w:pPr>
        <w:tabs>
          <w:tab w:val="left" w:pos="1701"/>
          <w:tab w:val="left" w:pos="1985"/>
        </w:tabs>
        <w:ind w:left="1985" w:hanging="1985"/>
        <w:rPr>
          <w:rFonts w:asciiTheme="majorHAnsi" w:hAnsiTheme="majorHAnsi"/>
        </w:rPr>
      </w:pPr>
      <w:r>
        <w:rPr>
          <w:rFonts w:asciiTheme="majorHAnsi" w:eastAsiaTheme="minorEastAsia" w:hAnsiTheme="majorHAnsi"/>
        </w:rPr>
        <w:tab/>
      </w:r>
      <w:r>
        <w:rPr>
          <w:rFonts w:asciiTheme="majorHAnsi" w:eastAsiaTheme="minorEastAsia" w:hAnsiTheme="majorHAnsi"/>
        </w:rPr>
        <w:tab/>
        <w:t>Die Berechnung für die anderen Wasserproben erfolgt analog.</w:t>
      </w:r>
      <w:r>
        <w:rPr>
          <w:rFonts w:asciiTheme="majorHAnsi" w:hAnsiTheme="majorHAnsi"/>
        </w:rPr>
        <w:tab/>
      </w:r>
    </w:p>
    <w:p w:rsidR="00E71176" w:rsidRDefault="00E71176" w:rsidP="00E71176">
      <w:pPr>
        <w:tabs>
          <w:tab w:val="left" w:pos="1701"/>
          <w:tab w:val="left" w:pos="1985"/>
        </w:tabs>
        <w:ind w:left="1985" w:hanging="1985"/>
        <w:rPr>
          <w:rFonts w:asciiTheme="majorHAnsi" w:hAnsiTheme="majorHAnsi"/>
        </w:rPr>
      </w:pPr>
      <w:r>
        <w:rPr>
          <w:rFonts w:asciiTheme="majorHAnsi" w:hAnsiTheme="majorHAnsi"/>
        </w:rPr>
        <w:tab/>
      </w:r>
      <w:r>
        <w:rPr>
          <w:rFonts w:asciiTheme="majorHAnsi" w:hAnsiTheme="majorHAnsi"/>
        </w:rPr>
        <w:tab/>
        <w:t xml:space="preserve">Regenwasser: </w:t>
      </w:r>
      <m:oMath>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Ca</m:t>
                </m:r>
              </m:e>
              <m:sup>
                <m:r>
                  <w:rPr>
                    <w:rFonts w:ascii="Cambria Math" w:hAnsi="Cambria Math"/>
                  </w:rPr>
                  <m:t>2+</m:t>
                </m:r>
              </m:sup>
            </m:sSup>
          </m:e>
        </m:d>
        <m:r>
          <w:rPr>
            <w:rFonts w:ascii="Cambria Math" w:hAnsi="Cambria Math"/>
          </w:rPr>
          <m:t>=0,15</m:t>
        </m:r>
        <m:f>
          <m:fPr>
            <m:ctrlPr>
              <w:rPr>
                <w:rFonts w:ascii="Cambria Math" w:hAnsi="Cambria Math"/>
                <w:i/>
              </w:rPr>
            </m:ctrlPr>
          </m:fPr>
          <m:num>
            <m:r>
              <w:rPr>
                <w:rFonts w:ascii="Cambria Math" w:hAnsi="Cambria Math"/>
              </w:rPr>
              <m:t>mmol</m:t>
            </m:r>
          </m:num>
          <m:den>
            <m:r>
              <w:rPr>
                <w:rFonts w:ascii="Cambria Math" w:hAnsi="Cambria Math"/>
              </w:rPr>
              <m:t>L</m:t>
            </m:r>
          </m:den>
        </m:f>
      </m:oMath>
    </w:p>
    <w:p w:rsidR="00E71176" w:rsidRDefault="00E71176" w:rsidP="00E71176">
      <w:pPr>
        <w:tabs>
          <w:tab w:val="left" w:pos="1701"/>
          <w:tab w:val="left" w:pos="1985"/>
        </w:tabs>
        <w:ind w:left="1985" w:hanging="1985"/>
        <w:rPr>
          <w:rFonts w:asciiTheme="majorHAnsi" w:hAnsiTheme="majorHAnsi"/>
        </w:rPr>
      </w:pPr>
      <w:r>
        <w:rPr>
          <w:rFonts w:asciiTheme="majorHAnsi" w:hAnsiTheme="majorHAnsi"/>
        </w:rPr>
        <w:tab/>
      </w:r>
      <w:r>
        <w:rPr>
          <w:rFonts w:asciiTheme="majorHAnsi" w:hAnsiTheme="majorHAnsi"/>
        </w:rPr>
        <w:tab/>
      </w:r>
      <w:proofErr w:type="spellStart"/>
      <w:r>
        <w:rPr>
          <w:rFonts w:asciiTheme="majorHAnsi" w:hAnsiTheme="majorHAnsi"/>
        </w:rPr>
        <w:t>Dest</w:t>
      </w:r>
      <w:proofErr w:type="spellEnd"/>
      <w:r>
        <w:rPr>
          <w:rFonts w:asciiTheme="majorHAnsi" w:hAnsiTheme="majorHAnsi"/>
        </w:rPr>
        <w:t xml:space="preserve">. Wasser: </w:t>
      </w:r>
      <m:oMath>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Ca</m:t>
                </m:r>
              </m:e>
              <m:sup>
                <m:r>
                  <w:rPr>
                    <w:rFonts w:ascii="Cambria Math" w:hAnsi="Cambria Math"/>
                  </w:rPr>
                  <m:t>2+</m:t>
                </m:r>
              </m:sup>
            </m:sSup>
          </m:e>
        </m:d>
        <m:r>
          <w:rPr>
            <w:rFonts w:ascii="Cambria Math" w:hAnsi="Cambria Math"/>
          </w:rPr>
          <m:t>=0</m:t>
        </m:r>
        <m:f>
          <m:fPr>
            <m:ctrlPr>
              <w:rPr>
                <w:rFonts w:ascii="Cambria Math" w:hAnsi="Cambria Math"/>
                <w:i/>
              </w:rPr>
            </m:ctrlPr>
          </m:fPr>
          <m:num>
            <m:r>
              <w:rPr>
                <w:rFonts w:ascii="Cambria Math" w:hAnsi="Cambria Math"/>
              </w:rPr>
              <m:t>mmol</m:t>
            </m:r>
          </m:num>
          <m:den>
            <m:r>
              <w:rPr>
                <w:rFonts w:ascii="Cambria Math" w:hAnsi="Cambria Math"/>
              </w:rPr>
              <m:t>L</m:t>
            </m:r>
          </m:den>
        </m:f>
      </m:oMath>
    </w:p>
    <w:p w:rsidR="00E71176" w:rsidRPr="008C637A" w:rsidRDefault="00E71176" w:rsidP="00E71176">
      <w:pPr>
        <w:tabs>
          <w:tab w:val="left" w:pos="1701"/>
          <w:tab w:val="left" w:pos="1985"/>
        </w:tabs>
        <w:ind w:left="1985" w:hanging="1985"/>
        <w:rPr>
          <w:rFonts w:asciiTheme="majorHAnsi" w:eastAsiaTheme="minorEastAsia" w:hAnsiTheme="majorHAnsi"/>
        </w:rPr>
      </w:pPr>
      <w:r>
        <w:rPr>
          <w:rFonts w:asciiTheme="majorHAnsi" w:hAnsiTheme="majorHAnsi"/>
        </w:rPr>
        <w:tab/>
      </w:r>
      <w:r>
        <w:rPr>
          <w:rFonts w:asciiTheme="majorHAnsi" w:hAnsiTheme="majorHAnsi"/>
        </w:rPr>
        <w:tab/>
        <w:t xml:space="preserve">Bachwasser: </w:t>
      </w:r>
      <m:oMath>
        <m:r>
          <w:rPr>
            <w:rFonts w:ascii="Cambria Math" w:hAnsi="Cambria Math"/>
          </w:rPr>
          <m:t>c(</m:t>
        </m:r>
        <m:sSup>
          <m:sSupPr>
            <m:ctrlPr>
              <w:rPr>
                <w:rFonts w:ascii="Cambria Math" w:hAnsi="Cambria Math"/>
                <w:i/>
              </w:rPr>
            </m:ctrlPr>
          </m:sSupPr>
          <m:e>
            <m:r>
              <w:rPr>
                <w:rFonts w:ascii="Cambria Math" w:hAnsi="Cambria Math"/>
              </w:rPr>
              <m:t>Ca</m:t>
            </m:r>
          </m:e>
          <m:sup>
            <m:r>
              <w:rPr>
                <w:rFonts w:ascii="Cambria Math" w:hAnsi="Cambria Math"/>
              </w:rPr>
              <m:t>2+</m:t>
            </m:r>
          </m:sup>
        </m:sSup>
        <m:r>
          <w:rPr>
            <w:rFonts w:ascii="Cambria Math" w:hAnsi="Cambria Math"/>
          </w:rPr>
          <m:t>) =</m:t>
        </m:r>
      </m:oMath>
      <w:r>
        <w:rPr>
          <w:rFonts w:asciiTheme="majorHAnsi" w:eastAsiaTheme="minorEastAsia" w:hAnsiTheme="majorHAnsi"/>
        </w:rPr>
        <w:t xml:space="preserve"> </w:t>
      </w:r>
      <m:oMath>
        <m:r>
          <w:rPr>
            <w:rFonts w:ascii="Cambria Math" w:hAnsi="Cambria Math"/>
          </w:rPr>
          <m:t>3,73</m:t>
        </m:r>
        <m:f>
          <m:fPr>
            <m:ctrlPr>
              <w:rPr>
                <w:rFonts w:ascii="Cambria Math" w:hAnsi="Cambria Math"/>
                <w:i/>
              </w:rPr>
            </m:ctrlPr>
          </m:fPr>
          <m:num>
            <m:r>
              <w:rPr>
                <w:rFonts w:ascii="Cambria Math" w:hAnsi="Cambria Math"/>
              </w:rPr>
              <m:t>mmol</m:t>
            </m:r>
          </m:num>
          <m:den>
            <m:r>
              <w:rPr>
                <w:rFonts w:ascii="Cambria Math" w:hAnsi="Cambria Math"/>
              </w:rPr>
              <m:t>L</m:t>
            </m:r>
          </m:den>
        </m:f>
      </m:oMath>
      <w:r>
        <w:rPr>
          <w:rFonts w:asciiTheme="majorHAnsi" w:hAnsiTheme="majorHAnsi"/>
        </w:rPr>
        <w:tab/>
      </w:r>
    </w:p>
    <w:p w:rsidR="00E71176" w:rsidRDefault="00E71176" w:rsidP="00E71176">
      <w:pPr>
        <w:spacing w:line="276" w:lineRule="auto"/>
        <w:jc w:val="left"/>
      </w:pPr>
      <w:r>
        <w:t>Entsorgung:</w:t>
      </w:r>
      <w:r>
        <w:tab/>
        <w:t xml:space="preserve">            Die Entsorgung erfolgt über den Abfluss. </w:t>
      </w:r>
    </w:p>
    <w:p w:rsidR="00E71176" w:rsidRDefault="00E71176" w:rsidP="00E71176">
      <w:pPr>
        <w:tabs>
          <w:tab w:val="left" w:pos="1985"/>
        </w:tabs>
        <w:spacing w:line="276" w:lineRule="auto"/>
        <w:jc w:val="left"/>
        <w:rPr>
          <w:rFonts w:asciiTheme="majorHAnsi" w:hAnsiTheme="majorHAnsi"/>
        </w:rPr>
      </w:pPr>
      <w:r>
        <w:lastRenderedPageBreak/>
        <w:t>Literatur:</w:t>
      </w:r>
      <w:r>
        <w:tab/>
        <w:t>R. Herbst-Irmer, Skript für das Fortgeschrittenenpraktikum für Lehramts-</w:t>
      </w:r>
      <w:r>
        <w:tab/>
      </w:r>
      <w:proofErr w:type="spellStart"/>
      <w:r>
        <w:t>kandidaten</w:t>
      </w:r>
      <w:proofErr w:type="spellEnd"/>
      <w:r>
        <w:t>: Anorganische Chemie 2015</w:t>
      </w:r>
      <w:r>
        <w:tab/>
      </w:r>
    </w:p>
    <w:p w:rsidR="00E71176" w:rsidRDefault="00E71176" w:rsidP="00E71176">
      <w:pPr>
        <w:tabs>
          <w:tab w:val="left" w:pos="1701"/>
          <w:tab w:val="left" w:pos="1985"/>
        </w:tabs>
        <w:ind w:left="1980" w:hanging="1980"/>
      </w:pPr>
    </w:p>
    <w:p w:rsidR="00E71176" w:rsidRPr="00F126F5" w:rsidRDefault="00E71176" w:rsidP="00E71176">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5DBF5665" wp14:editId="10623DC1">
                <wp:extent cx="5873115" cy="1076325"/>
                <wp:effectExtent l="0" t="0" r="13335" b="28575"/>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763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1176" w:rsidRPr="008360C0" w:rsidRDefault="00E71176" w:rsidP="00E71176">
                            <w:pPr>
                              <w:rPr>
                                <w:color w:val="auto"/>
                              </w:rPr>
                            </w:pPr>
                            <w:r>
                              <w:rPr>
                                <w:color w:val="auto"/>
                              </w:rPr>
                              <w:t xml:space="preserve">Dieser Versuch kann im Anschluss an „V2 - </w:t>
                            </w:r>
                            <w:r>
                              <w:t xml:space="preserve">Wasserhärtebestimmung durch </w:t>
                            </w:r>
                            <w:proofErr w:type="spellStart"/>
                            <w:r>
                              <w:t>komplexometrische</w:t>
                            </w:r>
                            <w:proofErr w:type="spellEnd"/>
                            <w:r>
                              <w:t xml:space="preserve"> Titration“ aus dem Langprotokoll durchgeführt werden. Durch die Differenz der Gesamthärte und der Calciumionenkonzentration kann nun auch die Magnesiumionenkonzentration der jeweiligen Wasserprobe bestimmt werden. </w:t>
                            </w:r>
                          </w:p>
                        </w:txbxContent>
                      </wps:txbx>
                      <wps:bodyPr rot="0" vert="horz" wrap="square" lIns="91440" tIns="45720" rIns="91440" bIns="45720" anchor="t" anchorCtr="0" upright="1">
                        <a:noAutofit/>
                      </wps:bodyPr>
                    </wps:wsp>
                  </a:graphicData>
                </a:graphic>
              </wp:inline>
            </w:drawing>
          </mc:Choice>
          <mc:Fallback>
            <w:pict>
              <v:shape w14:anchorId="5DBF5665" id="Text Box 131" o:spid="_x0000_s1027" type="#_x0000_t202" style="width:462.4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" fillcolor="white [3201]" strokecolor="#ed7d31 [3205]" strokeweight="1pt">
                <v:stroke dashstyle="dash"/>
                <v:shadow color="#868686"/>
                <v:textbox>
                  <w:txbxContent>
                    <w:p w:rsidR="00E71176" w:rsidRPr="008360C0" w:rsidRDefault="00E71176" w:rsidP="00E71176">
                      <w:pPr>
                        <w:rPr>
                          <w:color w:val="auto"/>
                        </w:rPr>
                      </w:pPr>
                      <w:r>
                        <w:rPr>
                          <w:color w:val="auto"/>
                        </w:rPr>
                        <w:t xml:space="preserve">Dieser Versuch kann im Anschluss an „V2 - </w:t>
                      </w:r>
                      <w:r>
                        <w:t xml:space="preserve">Wasserhärtebestimmung durch </w:t>
                      </w:r>
                      <w:proofErr w:type="spellStart"/>
                      <w:r>
                        <w:t>komplexometrische</w:t>
                      </w:r>
                      <w:proofErr w:type="spellEnd"/>
                      <w:r>
                        <w:t xml:space="preserve"> Titration“ aus dem Langprotokoll durchgeführt werden. Durch die Differenz der Gesamthärte und der Calciumionenkonzentration kann nun auch die Magnesiumionenkonzentration der jeweiligen Wasserprobe bestimmt werden. </w:t>
                      </w:r>
                    </w:p>
                  </w:txbxContent>
                </v:textbox>
                <w10:anchorlock/>
              </v:shape>
            </w:pict>
          </mc:Fallback>
        </mc:AlternateContent>
      </w:r>
    </w:p>
    <w:p w:rsidR="002F6050" w:rsidRDefault="00E71176"/>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76"/>
    <w:rsid w:val="00AF24C5"/>
    <w:rsid w:val="00E71176"/>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27D97-E608-4F28-8CFA-EE0E35A3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117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7117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7117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7117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7117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7117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7117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711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711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711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17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7117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7117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7117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7117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7117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7117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711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7117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71176"/>
    <w:pPr>
      <w:spacing w:line="240" w:lineRule="auto"/>
    </w:pPr>
    <w:rPr>
      <w:bCs/>
      <w:color w:val="auto"/>
      <w:sz w:val="18"/>
      <w:szCs w:val="18"/>
    </w:rPr>
  </w:style>
  <w:style w:type="character" w:styleId="Hyperlink">
    <w:name w:val="Hyperlink"/>
    <w:basedOn w:val="Absatz-Standardschriftart"/>
    <w:uiPriority w:val="99"/>
    <w:unhideWhenUsed/>
    <w:rsid w:val="00E71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de.wikipedia.org/wiki/H-_und_P-S%C3%A4tze"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2015-08-26T18:35:00Z</dcterms:created>
  <dcterms:modified xsi:type="dcterms:W3CDTF">2015-08-26T18:36:00Z</dcterms:modified>
</cp:coreProperties>
</file>